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4A_335/2022 vom 19. Dezember 2022</w:t>
      </w:r>
    </w:p>
    <w:p>
      <w:r>
        <w:t>Bundesgericht, 2022-12-19, IT</w:t>
      </w:r>
    </w:p>
    <w:p>
      <w:r>
        <w:rPr>
          <w:b/>
        </w:rPr>
        <w:t xml:space="preserve">Quelle: </w:t>
      </w:r>
      <w:r>
        <w:t>https://mcp.opencaselaw.ch/entscheid/bger_4A_335_2022</w:t>
      </w:r>
    </w:p>
    <w:p>
      <w:r>
        <w:t>FR: TF 4A_335/2022 du 19 décembre 2022</w:t>
      </w:r>
    </w:p>
    <w:p>
      <w:r>
        <w:t>IT: TF 4A_335/2022 del 19 dicembre 2022</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 Esso si rivela pertanto in linea di principio ammissibile.</w:t>
      </w:r>
    </w:p>
    <w:p>
      <w:r>
        <w:rPr>
          <w:b/>
        </w:rPr>
        <w:t>E. 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w:t>
      </w:r>
    </w:p>
    <w:p>
      <w:r>
        <w:t>Ne discende che, nella misura in cui la ricorrente completa liberamente la fattispecie riportata nella sentenza impugnata, il ricorso si rivela di primo acchito inammissibile, atteso che essa ha tralasciato di dimostrare nel gravame all'esame - con precisi rinvii agli atti di causa - di avere presentato alle istanze inferiori, rispettando le regole della procedura, i relativi fatti giuridicamente pertinenti.</w:t>
      </w:r>
    </w:p>
    <w:p>
      <w:r>
        <w:rPr>
          <w:b/>
        </w:rPr>
        <w:t>E. 3</w:t>
      </w:r>
    </w:p>
    <w:p>
      <w:r>
        <w:t>Giusta l' art. 699 CO uno o più azionisti, che rappresentano insieme almeno il 10 % del capitale azionario possono chiedere per scritto la convocazione dell'assemblea generale e l'iscrizione all'ordine del giorno di un oggetto (cpv. 3; DTF 142 III 16 consid. 2.3); qualora il consiglio di amministrazione non dia seguito entro un congruo termine a siffatta domanda, la convocazione sarà ordinata dal giudice ad istanza dei richiedenti (cpv. 4). Il grado di prova richiesto è quello della verosimiglianza semplice: gli istanti devono quindi rendere verosimile di avere invano chiesto al consiglio di amministrazione la predetta convocazione e di detenere almeno il 10 % del capitale azionario (sentenze 4A_558/2021 del 28 febbraio 2022 consid. 5.1; 4A_508/2020 del 25 marzo 2021 consid. 3.2; DTF 102 Ia 209 consid. 2). Il grado della prova della verosimiglianza semplice è raggiunto quando il tribunale, basandosi su elementi oggettivi, ha l'impressione che i fatti pertinenti allegati si siano prodotti con una certa probabilità, senza che possa però escludere che essi si siano svolti diversamente ( DTF 144 II 65 consid. 4.2.2; 130 III 321 consid. 3.3); la dottrina parla di una probabilità del 51 % (FABIENNE HOHL, Procédure civile, vol. I, 2a ed. 2016, n. 1942). In questo ambito la prova facilitata è giustificata dal fatto che il giudice determina solo a titolo pregiudiziale e provvisoriamente la qualità di azionista di colui che richiede la convocazione dell'assemblea generale, atteso che la sua decisione non vincola né quest'ultima né il giudice chiamato a statuire su un'eventuale azione di contestazione o di nullità di una deliberazione assembleare ( DTF 142 III 16 consid. 3.1; 112 II 145 consid. 2a).</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rPr>
          <w:b/>
        </w:rPr>
        <w:t>E. 3.1</w:t>
      </w:r>
    </w:p>
    <w:p>
      <w:r>
        <w:t>La Corte cantonale ha ritenuto che gli istanti avevano reso verosimile la loro qualità di azionisti, possedendo 50 azioni ricevute dal padre e producendo una scrittura privata del 25 gennaio 2016 in cui questi non si era limitato a specificare di avere consegnato alla figlia B.B.________ i menzionati titoli, ma aveva pure scritto la seguente frase: " ti ricordo poi che solo 25 azioni sono tue perché le altre 25 sono di C.B.________. Come ti ho detto solo quando C.B.________ aprirà una sua cassetta gli devi consegnare le sue azioni perché sono sue di diritto ". Ha disatteso la contestazione della convenuta, perché priva di motivazione, concernente l'autenticità della firma su tale documento, aggiungendo che la versione della donazione è stata confermata da un legale. Ha poi reputato che l'enunciazione nel patto parasociale, la dichiarazione fiscale del 2017 e il testamento pubblico del 22 febbraio 2020 di D.B.________, nonché le indicazioni riportate fra il dicembre 2016 e il dicembre 2019 nel libro degli azionisti non bastano per ritenere la versione degli istanti non verosimile. Infatti D.B.________ non si era curato del fatto che i dati riportati nel libro degli azionisti al momento della costituzione della società fossero errati e che egli nella dichiarazione fiscale del 2013 aveva erroneamente indicato, come pure pacificamente riconosciuto anche dalla convenuta, di essere proprietario di tutte le 100 azioni. Nulla modificano - soggiunge la Corte cantonale - i documenti prodotti nella procedura di appello riferiti a un procedimento (penale) italiano, atteso che questi nemmeno menzionavano esplicitamente la convenuta ed erano stati redatti da un legale, che non aveva ricevuto puntuali informazioni né effettuato opportuni approfondimenti. Altrettanto inconferente sarebbe la richiesta di restituzione delle 50 azioni formulata dal legale paterno, atteso che essa pare essere stata unicamente emessa per procedere alla loro conversione in azioni nominative.</w:t>
      </w:r>
    </w:p>
    <w:p>
      <w:r>
        <w:rPr>
          <w:b/>
        </w:rPr>
        <w:t>E. 3.2</w:t>
      </w:r>
    </w:p>
    <w:p>
      <w:r>
        <w:t>La ricorrente rimprovera essenzialmente alla Corte cantonale un accertamento dei fatti manifestamente arbitrario poiché dalla scrittura privata del gennaio 2016 non risulterebbe alcun animus donandi. Per contro nel patto parasociale D.B.________ e E.B.________ si davano atto di essere proprietari di 50 azioni ciascuno e il libro degli azionisti confermerebbe tale ripartizione. La proprietà di D.B.________ emergerebbe pure dalle sue dichiarazioni fiscali e dal fatto che questi ha disposto delle azioni nel testamento pubblico, nonché dal tenore della risposta affermativa data dall'avvocato della figlia alla richiesta di restituzione da parte del legale paterno. La titolarità delle azioni sarebbe inoltre stata riconosciuta anche negli scritti presentati dagli opponenti nei procedimenti avviati in Italia, non essendo ammissibile rettificare a posteriori quanto esposto. Del resto, soggiunge la ricorrente, gli opponenti non potrebbero dedurre alcunché dal possesso delle azioni al portatore, poiché queste sono state convertite d'ufficio in azioni nominative nel maggio 2021. L'arbitrio in cui è incorsa la Corte cantonale trasparirebbe altresì dalle considerazioni generiche, addirittura offensive, riguardanti l'agire di D.B.________, le quali hanno insostenibilmente portato alla relativizzazione dei documenti prodotti dalla convenuta.</w:t>
      </w:r>
    </w:p>
    <w:p>
      <w:r>
        <w:rPr>
          <w:b/>
        </w:rPr>
        <w:t>E. 3.3</w:t>
      </w:r>
    </w:p>
    <w:p>
      <w:r>
        <w:t>Con la predetta argomentazione la ricorrente si limita a contrapporre la propria valutazione degli atti di causa a quella della Corte cantonale, senza riuscire a rendere non verosimile la qualità di azionisti degli opponenti. In queste circostanze non occorre esaminare la censura di carenza di legittimazione attiva degli appellanti, poiché è unicamente stata fondata sulla versione dei fatti esposta nel gravame, che non attribuisce la titolarità delle azioni agli istanti. Nemmeno soccorre la ricorrente lamentare che la sentenza impugnata violerebbe l' art. 58 CPC , perché accerterebbe "di fatto" la proprietà degli opponenti delle azioni. Il dispositivo della sentenza impugnata non contiene infatti alcuna constatazione sulla proprietà delle azioni e la Corte cantonale ha dovuto, per verificare se sono dati i presupposti che permettono di ordinare la convocazione di un'assemblea generale, determinare (dal mero profilo della verosimiglianza e unicamente per la procedura in discussione) se la richiesta in tal senso proviene da azionisti.</w:t>
      </w:r>
    </w:p>
    <w:p>
      <w:r>
        <w:rPr>
          <w:b/>
        </w:rPr>
        <w:t>E. 4</w:t>
      </w:r>
    </w:p>
    <w:p>
      <w:r>
        <w:t>Da quanto precede discende che il ricorso si rivela, nella misura in cui è ammissibile, infondato e va come tale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