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335/2009 vom 16. Oktober 2009</w:t>
      </w:r>
    </w:p>
    <w:p>
      <w:r>
        <w:t>Bundesgericht, 2009-10-16, FR</w:t>
      </w:r>
    </w:p>
    <w:p>
      <w:r>
        <w:rPr>
          <w:b/>
        </w:rPr>
        <w:t xml:space="preserve">Quelle: </w:t>
      </w:r>
      <w:r>
        <w:t>https://mcp.opencaselaw.ch/entscheid/bger_4A_335_2009</w:t>
      </w:r>
    </w:p>
    <w:p>
      <w:r>
        <w:t>FR: TF 4A 335/2009 du 16 octobre 2009</w:t>
      </w:r>
    </w:p>
    <w:p>
      <w:r>
        <w:t>IT: TF 4A 335/2009 del 16 ottobre 2009</w:t>
      </w:r>
    </w:p>
    <w:p>
      <w:pPr>
        <w:pStyle w:val="Heading2"/>
      </w:pPr>
      <w:r>
        <w:t>Regeste</w:t>
      </w:r>
    </w:p>
    <w:p>
      <w:r>
        <w:t>contrat d'agence; indemnité pour la clientèle | Droit des contrats</w:t>
      </w:r>
    </w:p>
    <w:p>
      <w:pPr>
        <w:pStyle w:val="Heading2"/>
      </w:pPr>
      <w:r>
        <w:t>Erwägungen</w:t>
      </w:r>
    </w:p>
    <w:p>
      <w:r>
        <w:rPr>
          <w:b/>
        </w:rPr>
        <w:t>E. 1</w:t>
      </w:r>
    </w:p>
    <w:p>
      <w:r>
        <w:t>Le recours est dirigé contre deux jugements finals ( art. 90 LTF ), rendus en matière civile ( art. 72 al. 1 LTF ) et en dernière instance cantonale ( art. 75 al. 1 LTF ). La défenderesse a pris part aux instances concernées et succombé dans ses conclusions ( art. 76 al. 1 LTF ). La valeur litigieuse excède le minimum légal de 30'000 fr. (art. 51 al. 1 let. a et 74 al. 1 let. b LTF). Le Tribunal fédéral est saisi en temps utile, compte tenu que le jugement de la Cour civile peut être attaqué en même temps que celui de la Chambre des recours ( art. 100 al. 6 LTF ). Introduit dans les formes requises (art. 42 al. 1 à 3 LTF), le recours est en principe recevable.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recours n'est pas recevable pour violation du droit cantonal, hormis les droits constitutionnels cantonaux ( art. 95 let . c LTF) et certaines dispositions sans pertinence en matière civile ( art. 95 let . d LTF). 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La défenderesse persiste à soutenir que le contrat du 29 juin 2001 a été conclu entre elle et A.________ personnellement, plutôt qu'entre elle et la demanderesse, et que cette dernière n'a donc pas qualité pour agir sur la base dudit contrat. Invoquant les art. 9 et 29 al. 2 Cst. , elle reproche aux précédents juges d'avoir appliqué arbitrairement le droit cantonal de procédure en constatant des faits qui, selon ses affirmations, n'ont pas été allégués dans le procès. Elle leur reproche aussi d'avoir apprécié arbitrairement les preuves et d'avoir violé son droit d'être entendue.</w:t>
      </w:r>
    </w:p>
    <w:p>
      <w:r>
        <w:rPr>
          <w:b/>
        </w:rPr>
        <w:t>E. 2.1</w:t>
      </w:r>
    </w:p>
    <w:p>
      <w:r>
        <w:t>Confronté à un litige sur l'interprétation d'une convention écrite, le juge doit tout d'abord s'efforcer de déterminer la commune et réelle intention des individus qui l'ont signée, sans s'arrêter aux expressions ou dénominations inexactes dont ils ont pu se servir, soit par erreur, soit pour déguiser la nature véritable de la convention ( art. 18 al. 1 CO ). S'il y parvient, le juge procède à une constatation de fait qui ne peut être contestée, en instance fédérale, que dans la mesure restreinte permise par l' art. 97 al. 1 LTF . Déterminer ce que les auteurs du document savaient ou voulaient, au moment de conclure, relève en effet de la constatation des faits. Si le juge ne parvient pas à établir la commune et réelle intention des personnes qui ont signé,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personne le sens objectif de sa déclaration ou de son comportement, même si celui-ci ne correspond pas à sa volonté intime. L'application du principe de la confiance est une question de droit que le Tribunal fédéral examine librement. Pour résoudre cette question de droit, il doit cependant se fonder sur le contenu de la manifestation de volonté concernée et sur les circonstances dans lesquelles elle est intervenue, points qui relèvent du fait ( ATF 135 III 410 consid. 3.2 p. 412; 133 III 675 consid. 3.3 p. 68; 131 III 606 consid. 4.1 p. 611).</w:t>
      </w:r>
    </w:p>
    <w:p>
      <w:r>
        <w:rPr>
          <w:b/>
        </w:rPr>
        <w:t>E. 2.2</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134 I 140 consid. 5.4 p. 148; 133 I 149 consid. 3.1 p. 153; 132 I 13 consid. 5.1 p. 17). 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 voir aussi ATF 134 V 53 consid. 4.3 p. 62). Aux termes de l' art. 4 al. 1 et 2 CPC vaud., le juge ne peut pas fonder son jugement sur des faits autres que ceux qui ont été allégués dans l'instance et qui ont été soit admis par les parties, soit établis au cours de l'instruction selon les formes légales (al. 1). Toutefois, le juge peut tenir compte de faits notoires, non particuliers à la cause, ainsi que de faits patents, implicitement admis par les parties et non allégués par une inadvertance manifeste. En outre, il peut tenir compte des faits révélés par une expertise écrite (al. 2).</w:t>
      </w:r>
    </w:p>
    <w:p>
      <w:r>
        <w:rPr>
          <w:b/>
        </w:rPr>
        <w:t>E. 2.3</w:t>
      </w:r>
    </w:p>
    <w:p>
      <w:r>
        <w:t>La Cour civile constate que le 29 juin 2001, A.________ voulait engager la personne morale à laquelle il avait récemment transféré son entreprise et dont il était l'organe, soit la demanderesse. La Cour constate encore que les dirigeants de la défenderesse voulaient aussi lier celle-ci à la demanderesse plutôt qu'à A.________ personnellement; sur ce point, elle se réfère à l'en-tête du contrat qui comportait la désignation exacte de cette personne morale et précisait que celle-ci est inscrite au registre du commerce; elle se réfère aussi aux rapports d'activité ultérieurs de la défenderesse, dans lesquels cette dernière indiquait que ladite personne morale - et non A.________ - assumait son « service externe ». De ces circonstances et de divers autre faits encore, la Cour conclut que tous les signataires de l'acte voulaient créer une relation contractuelle entre la demanderesse et la défenderesse. A l'appui du recours en matière civile, cette partie-ci tente surtout de mettre en lumière des invraisemblances ou incohérences dans les allégués de la demanderesse relatifs aux événements qui ont précédé la conclusion du nouveau contrat, afin de contester que la demanderesse se soit substituée à A.________ déjà dans la relation contractuelle qui existait avant le 29 juin 2001. Ces arguties sont étrangères à la question résolue par la Cour, qui avait seulement pour objet d'identifier les parties au contrat d'agence conclu à cette date; elles sont donc irrecevables au regard de l' art. 97 al. 1 LTF , parce que dépourvues d'incidence sur l'issue de la cause. Il n'est pas nécessaire de vérifier si le libellé de l'en-tête du contrat, le transfert de l'entreprise individuelle de A.________ à la demanderesse et la teneur des rapports d'activité de la défenderesse ont été spécifiquement et méticuleusement allégués conformément à l' art. 4 al. 1 CPC vaud. De toute manière, la défenderesse ne peut pas sérieusement se prétendre surprise par la mention de tels faits dans le jugement de la Cour civile. Ces éléments peuvent sans arbitraire être considérés comme patents aux termes de l' art. 4 al. 2 CPC vaud. et la défenderesse se livre à une critique purement procédurière. Cette partie a pu s'exprimer au sujet de la qualité pour agir de l'autre partie, ce qui satisfait aux exigences de l' art. 29 al. 2 Cst.</w:t>
      </w:r>
    </w:p>
    <w:p>
      <w:r>
        <w:rPr>
          <w:b/>
        </w:rPr>
        <w:t>E. 2.4</w:t>
      </w:r>
    </w:p>
    <w:p>
      <w:r>
        <w:t>A.________ n'a apposé que sa signature individuelle au bas du contrat du 29 juin 2001, sans l'ajouter à la raison sociale de la demanderesse ainsi qu'il aurait dû le faire pour engager cette dernière conformément à l' art. 719 CO . Néanmoins, au regard des circonstances précitées et contrairement à l'opinion de la défenderesse, la Cour peut retenir sans arbitraire que la volonté commune de tous les signataires portait sur un contrat d'agence conclu avec la demanderesse. Il n'est pas nécessaire d'examiner les critiques de la défenderesse concernant les autres éléments d'appréciation retenus par la Cour.</w:t>
      </w:r>
    </w:p>
    <w:p>
      <w:r>
        <w:rPr>
          <w:b/>
        </w:rPr>
        <w:t>E. 2.5</w:t>
      </w:r>
    </w:p>
    <w:p>
      <w:r>
        <w:t>Celle-ci considère enfin que lors de la signature du contrat, il était indifférent à la défenderesse de traiter avec A.________ ou avec la demanderesse, de sorte que, de toute manière, cette dernière est devenue partie au contrat par l'effet de l' art. 32 al. 2 CO . Il n'est pas non plus nécessaire d'examiner les critiques développées contre cette motivation subsidiaire de la décision attaquée.</w:t>
      </w:r>
    </w:p>
    <w:p>
      <w:r>
        <w:rPr>
          <w:b/>
        </w:rPr>
        <w:t>E. 3</w:t>
      </w:r>
    </w:p>
    <w:p>
      <w:r>
        <w:t>La prétention encore litigieuse est fondée sur l' art. 418u al. 1 CO , lequel concerne les droits de l'agent à l'expiration du contrat d'agence. Selon cette disposition, une indemnité convenable, dite indemnité pour la clientèle, est due à l'agent lorsque celui-ci, par son activité, a augmenté sensiblement le nombre des clients du mandant, et que ce dernier, même après la fin du contrat, tire un profit effectif de ses relations d'affaires avec les clients ainsi acquis. L'indemnité n'est toutefois pas due si elle est inéquitable. Selon l' art. 418u al. 3 CO , l'indemnité n'est pas due, non plus, si le contrat a été résilié pour un motif imputable à l'agent.</w:t>
      </w:r>
    </w:p>
    <w:p>
      <w:r>
        <w:rPr>
          <w:b/>
        </w:rPr>
        <w:t>E. 3.1</w:t>
      </w:r>
    </w:p>
    <w:p>
      <w:r>
        <w:t>Sur la base d'une opinion doctrinale, la défenderesse fait valoir que l'indemnité n'est pas due lorsque les parties mettent fin au contrat d'un commun accord (Dominique Dreyer, in Commentaire romand, 2003, n° 12 ad art. 418u CO ). Comme la Cour civile l'a souligné, cela concerne les contrats d'agence de durée indéterminée, dont l'expiration est subordonnée à une résiliation, et, en l'espèce, on se trouve au contraire en présence d'un contrat de durée déterminée. Selon l'avis que le même auteur exprime au même endroit, l'indemnité pour la clientèle est éventuellement due à l'expiration d'un contrat de ce type. La défenderesse affirme vainement, en jouant sur les mots, que dans la présente affaire, les parties ont décidé en commun de mettre fin à leur contrat au 30 juin 2003. Cette échéance a été convenue d'emblée, ce qui est caractéristique d'un contrat de durée déterminée.</w:t>
      </w:r>
    </w:p>
    <w:p>
      <w:r>
        <w:rPr>
          <w:b/>
        </w:rPr>
        <w:t>E. 3.2</w:t>
      </w:r>
    </w:p>
    <w:p>
      <w:r>
        <w:t>Selon la jurisprudence, il doit exister un lien de causalité entre l'activité de l'agent et l'augmentation de la clientèle; l'agent ne peut pas prétendre à l'indemnité lorsque cette augmentation a son origine dans l'évolution de la situation économique ou dans les efforts du mandant ( ATF 84 II 529 consid. 2 p. 533). Il faut encore que ce dernier, après la fin du contrat, puisse très vraisemblablement compter sur la fidélité des clients apportés par l'agent, et qu'il retire de ceux-ci un profit significatif sur le plan économique ( ATF 103 II 277 consid. 3a p. 282 et 4b p. 285). La Cour civile constate qu'auprès de la défenderesse, l'effectif des assurés a augmenté de 78% en 2002, dont 40% sont attribuables au travail de la demanderesse. De surcroît, grâce à ce travail, la structure d'âges et le coût par assuré ont été améliorés; plus de la moitié des nouveaux assurés ont choisi des franchises annuelles supérieures à 600 fr. et la demanderesse a donc apporté de bons risques à sa mandante. Celle-ci a d'abord subi des pertes importantes pendant les années 2002 et 2003, parce que, sans avoir pu anticiper les nouvelles affiliations, elle a dû verser des contributions plus élevées au titre de la compensation des risques entre assureurs, prévue par l'art. 105 de la loi fédérale sur l'assurance-maladie (LAMal; RS 832.10). La mandante a ensuite réalisé des bénéfices importants pendant les années 2004 à 2006, grâce à la structure favorable des risques assurés. La Cour retient encore que, selon l'expérience générale de la vie, un assuré recherche une éventuelle couverture d'assurance complémentaire d'abord auprès de l'assureur qui lui fournit déjà la couverture obligatoire, et que par ailleurs, « une bonne partie » des assurés demeurent fidèles à leur assureur, sans en changer chaque année au gré de l'évolution des primes. La défenderesse admet une augmentation sensible de sa clientèle pendant la durée du contrat. Elle conteste que cette augmentation soit attribuable à l'activité de la demanderesse, mais sur ce point, elle se réfère seulement à certaines pièces du dossier, alors que le Tribunal fédéral est lié par les constatations de la Cour civile. Elle conteste avoir réalisé un profit par suite de cette augmentation. Elle se réfère évidemment aux pertes subies en 2002 et 2003, et elle conteste que les bénéfices postérieurs soient attribuables à l'activité de la demanderesse. Sur ce second point de fait, elle fonde sa thèse sur quelques passages du rapport d'expertise judiciaire, alors que, comme on le sait, les constatations de la Cour sont seules déterminantes. Ces critiques sont donc irrecevables.</w:t>
      </w:r>
    </w:p>
    <w:p>
      <w:r>
        <w:rPr>
          <w:b/>
        </w:rPr>
        <w:t>E. 3.3</w:t>
      </w:r>
    </w:p>
    <w:p>
      <w:r>
        <w:t>En vertu de l' art. 13 al. 2 let. a LAMal , la défenderesse doit pratiquer l'assurance-maladie sociale selon le principe de la mutualité, et n'affecter qu'à des buts d'assurance-maladie sociale les ressources provenant de celle-ci. Contrairement à l'argumentation soumise au Tribunal fédéral, cela n'exclut pas que la défenderesse doive éventuellement verser l'indemnité prévue par l' art. 418u al. 1 CO . Il y a en effet un « profit effectif », aux termes de cette disposition, lorsque les revenus provenant de la clientèle concernée excèdent les coûts engendrés par cette même clientèle; l'affectation de ce bénéfice, obligatoire ou volontaire, n'a pas d'importance. Pour le surplus, la défenderesse ne discute pas la pertinence des éléments retenus par la Cour civile, et il n'y a donc pas lieu de les soumettre à un examen plus approfondi.</w:t>
      </w:r>
    </w:p>
    <w:p>
      <w:r>
        <w:rPr>
          <w:b/>
        </w:rPr>
        <w:t>E. 4</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