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4A_334/2024 vom 10. Juni 2024</w:t>
      </w:r>
    </w:p>
    <w:p>
      <w:r>
        <w:t>Bundesgericht, 2024-06-10, DE</w:t>
      </w:r>
    </w:p>
    <w:p>
      <w:r>
        <w:rPr>
          <w:b/>
        </w:rPr>
        <w:t xml:space="preserve">Quelle: </w:t>
      </w:r>
      <w:r>
        <w:t>https://mcp.opencaselaw.ch/entscheid/bger_4A_334_2024</w:t>
      </w:r>
    </w:p>
    <w:p>
      <w:r>
        <w:t>FR: TF 4A_334/2024 du 10 juin 2024</w:t>
      </w:r>
    </w:p>
    <w:p>
      <w:r>
        <w:t>IT: TF 4A_334/2024 del 10 giugno 2024</w:t>
      </w:r>
    </w:p>
    <w:p>
      <w:pPr>
        <w:pStyle w:val="Heading2"/>
      </w:pPr>
      <w:r>
        <w:t>Erwägungen</w:t>
      </w:r>
    </w:p>
    <w:p>
      <w:r>
        <w:rPr>
          <w:b/>
        </w:rPr>
        <w:t>E. 1</w:t>
      </w:r>
    </w:p>
    <w:p>
      <w:r>
        <w:t>Mit Entscheid vom 27. Februar 2024 hiess das Bezirksgericht Zürich ein von der Beschwerdegegnerin eingereichtes Ausweisungsbegehren gut und verpflichtete den Beschwerdeführer und zwei weitere Familienangehörige, die von der Beschwerdegegnerin gemietete 5.5-Zimmer-Wohnung im 3. OG rechts mit Kellerabteil, U.________, V.________ per sofort zu räumen und ordnete Vollstreckungsmassnahmen an. Mit Urteil vom 26. April 2024 wies das Obergericht des Kantons Zürich eine gegen den bezirksgerichtlichen Entscheid vom 27. Februar 2024 erhobene Berufung ab. Mit Eingabe vom 5. Juni 2024 erklärte der Beschwerdeführer dem Bundesgericht, das Urteil des Obergerichts des Kantons Zürich vom 26. April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5. Juni 2024 nicht hinreichend mit den Erwägungen des angefochtenen Urteils des Obergerichts des Kantons Zürich vom 26. April 2024 auseinander und zeigt nicht rechtsgenügend auf, inwiefern die Vorinstanz mit ihrem Entscheid Bundesrecht verletzt hätte, sondern unterbreitet dem Bundesgericht in unzulässiger Weise seine eigene Sicht der Dinge. Er erwähnt zwar Art. 257d OR sowie den Grundsatz von Treu und Glauben, stützt seine entsprechenden Vorbringen jedoch auf Sachverhaltselemente, die sich dem angefochtenen Entscheid nicht entnehmen lassen. Dies ist vor Bundesgericht nicht zulässig. Auf die Beschwerde ist somit mangels hinreichender Begründung nicht einzutreten ( Art. 108 Abs. 1 lit. b BGG ).</w:t>
      </w:r>
    </w:p>
    <w:p>
      <w:r>
        <w:rPr>
          <w:b/>
        </w:rPr>
        <w:t>E. 3</w:t>
      </w:r>
    </w:p>
    <w:p>
      <w:r>
        <w:t>Mit dem Entscheid in der Sache wird das Gesuch um Erteilung der aufschiebenden Wirkung gegenstandslos. 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