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4A_334/2018 vom 20. März 2019</w:t>
      </w:r>
    </w:p>
    <w:p>
      <w:r>
        <w:t>Bundesgericht, 2019-03-20, FR</w:t>
      </w:r>
    </w:p>
    <w:p>
      <w:r>
        <w:rPr>
          <w:b/>
        </w:rPr>
        <w:t xml:space="preserve">Quelle: </w:t>
      </w:r>
      <w:r>
        <w:t>https://mcp.opencaselaw.ch/entscheid/bger_4A_334_2018</w:t>
      </w:r>
    </w:p>
    <w:p>
      <w:r>
        <w:t>FR: TF 4A_334/2018 du 20 mars 2019</w:t>
      </w:r>
    </w:p>
    <w:p>
      <w:r>
        <w:t>IT: TF 4A_334/2018 del 20 marzo 2019</w:t>
      </w:r>
    </w:p>
    <w:p>
      <w:pPr>
        <w:pStyle w:val="Heading2"/>
      </w:pPr>
      <w:r>
        <w:t>Erwägungen</w:t>
      </w:r>
    </w:p>
    <w:p>
      <w:r>
        <w:rPr>
          <w:b/>
        </w:rPr>
        <w:t>E. 1</w:t>
      </w:r>
    </w:p>
    <w:p>
      <w:r>
        <w:t>Interjeté en temps utile ( art. 100 al. 1 LTF ) contre une décision finale ( art. 90 LTF ), prise par un tribunal cantonal supérieur ( art. 75 LTF ) dans une affaire de contrat de courtage (cf. art. 72 al. 1 LTF ), dont la valeur litigieuse est supérieure à 30'000 fr. ( art. 74 al. 1 let. b LTF ), le recours en matière civile est recevable.</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rPr>
          <w:b/>
        </w:rPr>
        <w:t>E. 2.2</w:t>
      </w:r>
    </w:p>
    <w:p>
      <w:r>
        <w:t>Le Tribunal fédéral applique d'office le droit ( art. 106 al. 1 LTF ), sous réserve de la violation des droits constitutionnels ( art. 106 al. 2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Le recourant s'en prend d'abord à la recevabilité de la demande. Invoquant la violation des art. 70 al. 1 CPC , 544 al. 1 CO et 9 Cst., il soutient que le demandeur n'a pas la qualité pour agir, puisqu'il a déposé sa demande seul, alors qu'il formait une société simple avec C.________.</w:t>
      </w:r>
    </w:p>
    <w:p>
      <w:r>
        <w:t>Selon la cour cantonale, le courriel du 28 janvier 2013 ne permet pas de retenir que C.________ et le demandeur seraient convenus d'unir leurs efforts ou leurs ressources en vue d'atteindre un but commun au sens de l' art. 530 al. 1 CO . Il démontre au contraire que les intéressés n'ont rien convenu du tout et que C.________ n'est venue réclamer sa part que par la suite, de sorte qu'il n'y a jamais eu</w:t>
      </w:r>
    </w:p>
    <w:p>
      <w:r>
        <w:t>d'animus societatis.</w:t>
      </w:r>
    </w:p>
    <w:p>
      <w:r>
        <w:t>Le recourant ne s'en prend pas directement à cette argumentation. Il se contente de soutenir que C.________ et le demandeur se sont mis d'accord pour toucher une commission de 50% chacun, sans expliquer d'où il entend déduire un accord des intéressés, sachant qu'il ne ressort pas du dossier que celui-ci aurait donné une quelconque suite au courriel du 28 janvier 2013. Son grief de violation des art. 544 al. 1 CO et 9 Cst., et avec lui celui de violation de l' art. 70 al. 1 CPC , est appellatoire et donc irrecevable.</w:t>
      </w:r>
    </w:p>
    <w:p>
      <w:r>
        <w:rPr>
          <w:b/>
        </w:rPr>
        <w:t>E. 4</w:t>
      </w:r>
    </w:p>
    <w:p>
      <w:r>
        <w:t>Dans deux griefs ultérieurs, le recourant conteste le droit du courtier demandeur à une commission pour l'activité qu'il a déployée. Il soutient que ce droit n'aurait existé que si la personne indiquée par le demandeur avait repris personnellement le projet (cf. consid. 4.2</w:t>
      </w:r>
    </w:p>
    <w:p>
      <w:r>
        <w:t>infra ). Or, D.________ n'aurait agi qu'en qualité d'intermédiaire, sans investir directement dans le projet, de sorte que l'activité du demandeur n'a pas été couronnée de succès et ne se trouve pas en lien de causalité avec la conclusion du contrat (cf. consid. 4.3</w:t>
      </w:r>
    </w:p>
    <w:p>
      <w:r>
        <w:t>infra ).</w:t>
      </w:r>
    </w:p>
    <w:p>
      <w:r>
        <w:rPr>
          <w:b/>
        </w:rPr>
        <w:t>E. 4.1.1</w:t>
      </w:r>
    </w:p>
    <w:p>
      <w:r>
        <w:t>L' art. 412 al. 1 CO définit le courtage comme un contrat par lequel le courtier est chargé, moyennant un salaire, soit d'indiquer à l'autre partie l'occasion de conclure une convention (courtage d'indication), soit de lui servir d'intermédiaire pour la négociation d'un contrat (courtage de négociation).</w:t>
      </w:r>
    </w:p>
    <w:p>
      <w:r>
        <w:t>D'après l' art. 413 al. 1 CO , qui est de droit dispositif ( ATF 131 III 268 consid. 5.1.2 p. 275</w:t>
      </w:r>
    </w:p>
    <w:p>
      <w:r>
        <w:t>in fine ; arrêt 4A_96/2016 du 4 avril 2016 consid. 2.1), le courtier a droit à son salaire dès que l'indication qu'il a donnée ou la négociation qu'il a conduite aboutit à la conclusion du contrat. Pour prétendre à un salaire, le courtier doit prouver qu'il a agi et que son intervention a été couronnée de succès; il doit donc exister un lien de causalité entre son activité et la venue à chef du contrat principal ( ATF 144 III 43 consid. 3.1.1 p. 46; 131 III 268 consid. 5.1.2; arrêts 4A_307/2018 du 10 octobre 2018 consid. 4.1; 4A_153/2017 du 29 novembre 2017 consid. 2.1).</w:t>
      </w:r>
    </w:p>
    <w:p>
      <w:r>
        <w:rPr>
          <w:b/>
        </w:rPr>
        <w:t>E. 4.1.2</w:t>
      </w:r>
    </w:p>
    <w:p>
      <w:r>
        <w:t>Dans le courtage de négociation, la jurisprudence se contente d'un lien psychologique entre les efforts du courtier et la décision du tiers ( ATF 84 II 542 consid. 5; 72 II 84 consid. 2 p. 89; plus récents, arrêts 4A_307/2018 précité consid. 4.1; 4A_562/2017 du 7 mai 2018 consid. 3.1; 4A_479/2016 du 21 avril 2017 consid. 4.1). A cet égard, il importe peu qu'un autre (nouveau) courtier ait également été mis en oeuvre. En pareil cas, la condition suspensive de l' art. 413 al. 1 CO n'est défaillante que si l'activité du premier courtier n'a abouti à aucun résultat, que les pourparlers consécutifs à cette activité ont été définitivement rompus et que l'affaire est finalement conclue, avec le contractant que le premier courtier avait présenté, sur des bases toutes nouvelles (arrêts 4A_153/2017 précité consid. 2.3.1; 4A_479/2016 du 21 avril 2017 consid. 4.1 et les arrêts cités).</w:t>
      </w:r>
    </w:p>
    <w:p>
      <w:r>
        <w:rPr>
          <w:b/>
        </w:rPr>
        <w:t>E. 4.1.3</w:t>
      </w:r>
    </w:p>
    <w:p>
      <w:r>
        <w:t>Dans le courtage d'indication, l'exigence d'un lien psychologique entre les efforts du courtier et la décision du tiers n'a pas véritablement de sens, puisque le courtier se limite à communiquer au mandant le nom de personnes intéressées à conclure et n'exerce pas d'influence sur la volonté de celles-ci (arrêts 4A_153/2017 précité consid. 2.3.1; 4A_479/2016 précité consid. 4.1 et les arrêts cités; arrêt 4C.136/2004 du 13 juillet 2004 consid. 3.2.1). Il incombe alors au courtier, s'il entend recevoir une rémunération, d'indiquer à son mandant une occasion de conclure qui lui était inconnue jusque-là (arrêts 4A_153/2017 précité consid. 2.3.2; 4C.136/2004 déjà cité consid. 3.2.1 et l'arrêt cité). Ainsi,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(arrêts 4A_153/2017 précité consid. 2.3.2; 4A_479/2016 déjà cité consid. 4.1; 4C.136/2004 du 13 juillet 2004 consid. 3.3.2). Il en va de même lorsque le contrat principal est conclu avec un tiers se trouvant dans une relation économique ou personnelle particulièrement étroite avec la personne indiquée (arrêts 4A_200/2010 du 26 juillet 2010, consid. 7.1 et 8.3; 4A_155/2008 du 24 avril 2008 consid. 3.1; Tercier/Bieri/Carron, Les contrats spéciaux, 5e éd. 2016, n. 4993).</w:t>
      </w:r>
    </w:p>
    <w:p>
      <w:r>
        <w:rPr>
          <w:b/>
        </w:rPr>
        <w:t>E. 4.2</w:t>
      </w:r>
    </w:p>
    <w:p>
      <w:r>
        <w:t>Se plaignant de violation des art. 18 al. 1 CO , 2 al. 1 CC et 9 Cst., le recourant soutient que, selon le contrat de courtage conclu, qui a pour objet de trouver un investisseur (i.e. un courtage d'indication), le demandeur n'aurait eu droit à une commission que si la personne indiquée avait repris personnellement le projet.</w:t>
      </w:r>
    </w:p>
    <w:p>
      <w:r>
        <w:rPr>
          <w:b/>
        </w:rPr>
        <w:t>E. 4.2.1</w:t>
      </w:r>
    </w:p>
    <w:p>
      <w:r>
        <w:t>Constatant que la commune et réelle volonté des parties ne pouvait pas être établie, la cour cantonale a recherché le sens qui pouvait être attribué de bonne foi aux articles 2 et 3 de la convention, en vertu du principe de la confiance. Elle a considéré que le courtier ne pouvait pas déduire des termes effectivement employés dans la convention que le versement de sa commission était soumis à la condition de la reprise personnelle du projet par la personne qu'il présenterait. Si telle était la volonté du mandant, qui avait rédigé la convention, il lui appartenait de le mentionner. Au titre des circonstances entourant la conclusion du contrat, elle a tenu pour établie l'urgence de la situation, vu l'échéance du droit d'option dans les jours à venir, et retenu que le but premier du contrat passé avec le courtier était de trouver rapidement un investisseur. La cour cantonale a précisé que l'engagement du mandant de verser une commission supplémentaire à D.________ n'était pas déterminant pour le sort de la cause, parce que survenu postérieurement à la convention litigieuse.</w:t>
      </w:r>
    </w:p>
    <w:p>
      <w:r>
        <w:rPr>
          <w:b/>
        </w:rPr>
        <w:t>E. 4.2.2</w:t>
      </w:r>
    </w:p>
    <w:p>
      <w:r>
        <w:t>Aucun des arguments avancés par le recourant ne plaide en faveur d'une interprétation différente de celle retenue par la cour cantonale. En particulier, il ne s'agit pas de savoir si, comme le soutient le recourant, le versement d'une rémunération totale de 290'000 fr. est en l'espèce insoutenable au regard de l'option d'achat dont il disposait ou si le courtier était au fait de la rémunération que demanderait à son tour son contact, mais de savoir à quoi les parties se sont engagées l'une envers l'autre. Or, le recourant ne conteste pas qu'il s'est trouvé dans une situation d'urgence au moment de conclure la convention litigieuse et que celle-ci ne comporte aucune précision sur la reprise personnelle du projet par la personne indiquée, autre étant la question de savoir s'il existe dans ces circonstances un lien de causalité entre l'activité déployée par le courtier et la décision du tiers d'investir dans le projet (cf. consid. 4.3</w:t>
      </w:r>
    </w:p>
    <w:p>
      <w:r>
        <w:t>infra ). Son grief de violation des art. 18 al. 1 CO , 2 al. 1 CC et 9 Cst. est dès lors mal fondé.</w:t>
      </w:r>
    </w:p>
    <w:p>
      <w:r>
        <w:rPr>
          <w:b/>
        </w:rPr>
        <w:t>E. 4.3</w:t>
      </w:r>
    </w:p>
    <w:p>
      <w:r>
        <w:t>Le recourant invoque la violation des art. 413 al. 1 CO et 2 al. 2 CC, contestant l'existence d'un lien de causalité entre l'activité du courtier et la conclusion du contrat.</w:t>
      </w:r>
    </w:p>
    <w:p>
      <w:r>
        <w:rPr>
          <w:b/>
        </w:rPr>
        <w:t>E. 4.3.1</w:t>
      </w:r>
    </w:p>
    <w:p>
      <w:r>
        <w:t>Selon l'arrêt entrepris, la cour cantonale retient que le lien de causalité entre l'activité du courtier et la conclusion du contrat principal existe, dans la mesure où le courtier a présenté D.________ au mandant et que celui-ci a trouvé les fonds nécessaires grâce aux indications du courtier. Elle retient également que le fait que D.________ n'a pas été un investisseur, mais un intermédiaire qui a réclamé à son tour une rémunération de 190'000 fr., n'est en l'occurrence pas déterminant. Elle ajoute que le mandant frôle la mauvaise foi, lorsqu'il prétend que le courtier n'aurait pas apporté la preuve que D.________ a effectivement investi dans le projet immobilier et que le témoin E.________ n'aurait jamais déclaré que le</w:t>
      </w:r>
    </w:p>
    <w:p>
      <w:r>
        <w:t>family office " yyy " avait investi dans le projet, puisqu'il a lui-même admis lors de son audition que l'intervention de B.________ était un succès et qu'elle avait eu " un rôle causal [...] dans la reprise du projet par un tiers ".</w:t>
      </w:r>
    </w:p>
    <w:p>
      <w:r>
        <w:rPr>
          <w:b/>
        </w:rPr>
        <w:t>E. 4.3.2</w:t>
      </w:r>
    </w:p>
    <w:p>
      <w:r>
        <w:t>A l'encontre de ce raisonnement, le recourant soutient que la procédure n'aurait pas établi que D.________ a investi directement dans le projet et que l'existence de rapports économiques, personnels ou sociaux particulièrement étroits entre celui-ci et X.________ SA, société créée nouvellement pour investir dans le projet, n'aurait pas été démontrée. Ce faisant, il se contente d'opposer sa propre appréciation des preuves à celle de la cour cantonale, laquelle a tenu pour établi, notamment sur la base des témoignages des principaux intéressés, que D.________ participait activement au projet immobilier, dans la mesure où il y avait investi par le biais du</w:t>
      </w:r>
    </w:p>
    <w:p>
      <w:r>
        <w:t>family office " yyy " et percevait des honoraires de X.________ SA pour son activité de direction des travaux. Un tel procédé ne suffit pas à démontrer l'arbitraire, de sorte qu'il n'y a pas lieu de se départir de la constatation de la cour cantonale, selon laquelle D.________ a investi directement dans le projet et qu'il existe entre celui-ci et X.________ SA des liens économiques, personnels ou sociaux particulièrement étroits. En tant que telle, cette constatation permet déjà de conclure à l'existence d'un lien de causalité entre l'indication du courtier et la conclusion du contrat (cf. consid. 4.1.3</w:t>
      </w:r>
    </w:p>
    <w:p>
      <w:r>
        <w:t>in fine ).</w:t>
      </w:r>
    </w:p>
    <w:p>
      <w:r>
        <w:t>C'est par ailleurs en vain que le recourant allègue que l'activité déployée par le courtier n'aurait pas été couronnée de succès, parce que la rémunération de D.________ s'est avérée nécessaire pour parvenir au résultat escompté. Outre la qualité d'investisseur de D.________ et ses rapports de proximité avec X.________ SA, l'engagement du recourant envers celui-ci ne saurait avoir pour conséquence inéluctable de priver le courtier de sa commission, ce d'autant que le recourant était parfaitement conscient de s'exposer au versement de deux montants à deux intervenants différents. D'une part, D.________ a déclaré dans son témoignage que le recourant avait tenté de négocier sa rémunération à la baisse, en argumentant qu'il devait déjà verser une commission à l'intimé, mais qu'il avait finalement accepté de lui verser la somme de 190'000 fr. demandée vu l'urgence de la situation. D'autre part, il ressort du courriel du 28 janvier 2013 envoyé aux parties par C.________ (cf. consid. A.d.</w:t>
      </w:r>
    </w:p>
    <w:p>
      <w:r>
        <w:t>supra ) que, quand l'affaire serait conclue entre les contacts de D.________ et le recourant, l'intimé aurait droit à une " commission confortable ", ce qui confirme que le rôle joué par D.________ n'entraînait pas nécessairement la suppression du droit à la commission de l'intimé.</w:t>
      </w:r>
    </w:p>
    <w:p>
      <w:r>
        <w:t>Le grief du recourant sur l'absence de lien de causalité entre l'activité du courtier intimé et la conclusion du contrat principal est dès lors mal fondé.</w:t>
      </w:r>
    </w:p>
    <w:p>
      <w:r>
        <w:rPr>
          <w:b/>
        </w:rPr>
        <w:t>E. 5</w:t>
      </w:r>
    </w:p>
    <w:p>
      <w:r>
        <w:t>Le recourant se plaint enfin de violation des art. 417 CO et 4 CC, en ce sens que la commission éventuellement due à l'intimé est excessive et doit donc être réduite.</w:t>
      </w:r>
    </w:p>
    <w:p>
      <w:r>
        <w:rPr>
          <w:b/>
        </w:rPr>
        <w:t>E. 5.1</w:t>
      </w:r>
    </w:p>
    <w:p>
      <w:r>
        <w:t>Lorsqu'un salaire excessif a été stipulé soit pour avoir indiqué une occasion de conclure un contrat individuel de travail ou une vente d'immeuble, soit pour avoir négocié l'un de ces contrats, il peut être, à la requête du débiteur, équitablement réduit par le juge ( art. 417 CO ).</w:t>
      </w:r>
    </w:p>
    <w:p>
      <w:r>
        <w:t>Déterminer si le salaire est excessif ou non suppose de tenir compte de l'ensemble des circonstances du cas d'espèce (cf. ATF 138 III 669 consid. 3.1; 117 II 286 consid. 5b p. 290 in fine; 83 II 151 consid. 4c p. 154 in fine). Étant donné le caractère aléatoire du contrat de courtage, il faut partir du principe que le salaire rémunère le succès du courtier, et non l'étendue de l'activité déployée par celui-ci (François Rayroux, in Commentaire romand, Code des obligations I, 2e éd. 2012, n° 8 ad art. 417 CO ; Christian Marquis, Le contrat de courtage immobilier et le salaire du courtier, 1993, p. 329). Le juge effectuera une comparaison avec les commissions versées habituellement ( ATF 117 II 286 consid. 5b p. 290 et les arrêts cités) dans la région considérée ( ATF 112 II 459 consid. 3 p. 460; 111 II 366 consid. 3c p. 370). En matière immobilière, la commission correspond en règle générale à un pourcentage du prix de vente obtenu. Le taux usuel peut varier en fonction du prix qui sert de référence; il diminue alors au fur et à mesure que le prix de vente augmente. Une commission peut dépasser légèrement le tarif ou le taux habituel sans pour autant être excessive (Thévenoz/Peyrot, Le contrat de courtage immobilier, in Servitudes, droit de voisinage, responsabilités du propriétaire immobilier, 2007, p. 136). En effet, dans la mesure où il limite la liberté contractuelle des parties, l' art. 417 CO doit être interprété de manière restrictive ( ATF 138 III 669 consid. 3.1; 106 II 56 consid. 2a p. 57).</w:t>
      </w:r>
    </w:p>
    <w:p>
      <w:r>
        <w:t>Dans la jurisprudence, une commission de 3% calculée sur un prix de vente de 1'695'000 fr. n'a pas été jugée excessive (arrêt 4C.121/2005 du 5 juillet 2005 consid. 4.2.2). De même, le Tribunal fédéral n'a pas réduit un salaire de 492'000 fr. correspondant à un taux de 3% du prix de vente de diverses parcelles qui se montait au total à 16'400'000 fr., même si cette rémunération se situait à la limite de ce qui était admissible en raison du prix élevé de la transaction (arrêt 4C.362/1999 du 22 mars 2000 consid. 4c). N'a pas non plus été considérée comme excessive une commission de 3,57% pour des ventes immobilières portant l'une sur 1'750'000 fr. (arrêt 4C.183/1998 du 16 juin 1999 consid. 4b) et l'autre sur 2'800'000 fr. (arrêt 4C.28/1995 du 1er octobre 1996 consid. 5b). Il a également été jugé qu'une commission fixée à 3% du prix de vente, correspondant au taux usuel, n'était pas trop élevée ( ATF 117 II 286 consid. 5b p. 290). En revanche, un salaire fixé à 11% du prix de vente alors que le taux usuel était de l'ordre de 2% a été tenu pour manifestement excessif ( ATF 83 II 151 consid. 4c p. 153).</w:t>
      </w:r>
    </w:p>
    <w:p>
      <w:r>
        <w:t>La détermination du caractère excessif ou non du salaire du courtier relève du pouvoir d'appréciation du juge cantonal ( art. 4 CC ). En pareil cas, le Tribunal fédéral ne revoit qu'avec réserve la décision prise en dernière instance; il n'intervient que lorsque celle-ci s'écarte sans raison des règles établies par la doctrine et la jurisprudence en matière de libre appréciation, lorsqu'elle s'appuie sur des faits qui, dans le cas particulier, ne devaient jouer aucun rôle, ou à l'inverse, lorsqu'elle n'a pas tenu compte d'éléments qui auraient absolument dû être pris en considération; il sanctionne en outre les décisions rendues en vertu du pouvoir d'appréciation lorsqu'elles aboutissent à un résultat manifestement injuste ou à une iniquité choquante (cf. ATF 138 III 669 consid. 3.1; 135 III 121 consid. 2 p. 123 s.; 133 III 201 consid. 5.4 p. 211; 132 III 178 consid. 5.1 p. 183; 130 III 571 consid. 4.3 p. 576).</w:t>
      </w:r>
    </w:p>
    <w:p>
      <w:r>
        <w:rPr>
          <w:b/>
        </w:rPr>
        <w:t>E. 5.2</w:t>
      </w:r>
    </w:p>
    <w:p>
      <w:r>
        <w:t>La cour cantonale a retenu que le projet pour lequel le recourant avait une option d'achat portait sur la construction d'un immeuble de 86 logements à.... Compte tenu de la valeur de l'immeuble, qui ne pouvait être inférieure à plusieurs millions de francs, et du bénéfice net réalisé par le mandant, soit 900'000 fr., la commission de 100'000 fr. prévue dans la convention conclue avec le courtier n'était pas excessive.</w:t>
      </w:r>
    </w:p>
    <w:p>
      <w:r>
        <w:t>L'on ne saurait suivre le recourant lorsqu'il soutient que la commission réclamée par l'intimé est excessive, parce que, cumulée à la rémunération versée à D.________, elle totalise 290'000 fr. et représente 32.222% du bénéfice net de 900'000 fr. qu'il a réalisé. L'on ne voit pas qu'il faille tenir compte de la rémunération versée à D.________, que le recourant a d'ailleurs accepté de verser indépendamment de son engagement préalable envers l'intimé (cf. consid. 4.3.2</w:t>
      </w:r>
    </w:p>
    <w:p>
      <w:r>
        <w:t>supra ). Au demeurant, pour déterminer le caractère excessif d'une commission, la jurisprudence se réfère au prix de vente de l'immeuble objet du contrat conclu grâce à l'intervention du courtier. Or, si l'on sait que le mandant disposait d'une option d'achat en lien avec un certain projet immobilier, on ignore le montant de cette option, tout comme on ignore le prix auquel l'immeuble a été vendu. Dans ces circonstances, l'on ne saurait conclure que la cour cantonale a violé son pouvoir d'appréciation en niant à la commission litigieuse tout caractère excessif.</w:t>
      </w:r>
    </w:p>
    <w:p>
      <w:r>
        <w:rPr>
          <w:b/>
        </w:rPr>
        <w:t>E. 6</w:t>
      </w:r>
    </w:p>
    <w:p>
      <w:r>
        <w:t>Il résulte de ce qui précède que le recours en matière civile est mal fondé dans la mesure de sa recevabilité.</w:t>
      </w:r>
    </w:p>
    <w:p>
      <w:r>
        <w:t>Vu l'issue du recours, le recourant supportera les frais de la procédure ( art. 66 al. 1 LTF ), arrêtés à 5'000 fr., et versera des dépens à hauteur de 6'000 fr. à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