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334/2009 vom 18. Februar 2010</w:t>
      </w:r>
    </w:p>
    <w:p>
      <w:r>
        <w:t>Bundesgericht, 2010-02-18, IT</w:t>
      </w:r>
    </w:p>
    <w:p>
      <w:r>
        <w:rPr>
          <w:b/>
        </w:rPr>
        <w:t xml:space="preserve">Quelle: </w:t>
      </w:r>
      <w:r>
        <w:t>https://mcp.opencaselaw.ch/entscheid/bger_4A_334_2009</w:t>
      </w:r>
    </w:p>
    <w:p>
      <w:r>
        <w:t>FR: TF 4A 334/2009 du 18 février 2010</w:t>
      </w:r>
    </w:p>
    <w:p>
      <w:r>
        <w:t>IT: TF 4A 334/2009 del 18 febbraio 2010</w:t>
      </w:r>
    </w:p>
    <w:p>
      <w:pPr>
        <w:pStyle w:val="Heading2"/>
      </w:pPr>
      <w:r>
        <w:t>Regeste</w:t>
      </w:r>
    </w:p>
    <w:p>
      <w:r>
        <w:t>contratto di locazione; spese accessorie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Dato che i due gravami sono identici e riguardano due cause che, seppur decise con due sentenze separate, coinvolgono le medesime parti e traggono origine dalla stessa fattispecie, essi possono - per ragioni di economia procedurale - venir trattati insieme e decisi con un unico giudizio.</w:t>
      </w:r>
    </w:p>
    <w:p>
      <w:r>
        <w:rPr>
          <w:b/>
        </w:rPr>
        <w:t>E. 2</w:t>
      </w:r>
    </w:p>
    <w:p>
      <w:r>
        <w:t>Il Tribunale federale si pronuncia d'ufficio e con pieno potere d'esame sulla propria competenza e sull'ammissibilità del rimedio ( art. 29 cpv. 1 LTF ; DTF 135 III 1 consid. 1.1 pag. 3).</w:t>
      </w:r>
    </w:p>
    <w:p>
      <w:r>
        <w:rPr>
          <w:b/>
        </w:rPr>
        <w:t>E. 2.1</w:t>
      </w:r>
    </w:p>
    <w:p>
      <w:r>
        <w:t>Consapevole del mancato raggiungimento del valore litigioso minimo di fr. 15'000.-- prescritto dall' art. 74 cpv. 1 lett. a LTF per le controversie in materia di diritto della locazione, il ricorrente ritiene di poter ciononostante introdurre - in ambedue le cause - un ricorso in materia civile in forza dell' art. 74 cpv. 2 lett. a LTF , per il motivo che la controversia concerne una "questione di diritto d'importanza fondamentale". A torto. Contrariamente a quanto da lui affermato, la lite può infatti essere risolta mediante l'applicazione di principi giurisprudenziali già noti - e debitamente considerati nell'atto impugnato - sia con riferimento alla questione delle spese accessorie ( DTF 132 III 24 ; cfr. anche sentenza 4A_268/2009 del 4 febbraio 2010) che del dolo ( DTF 132 II 161 consid. 4.1 con rinvii), ciò che esclude la possibilità di ammettere l'esistenza di una "questione di diritto d'importanza fondamentale" ( DTF 135 III 1 consid. 1.3 pag. 4; 135 III 397 consid. 1.2 pag. 399).</w:t>
      </w:r>
    </w:p>
    <w:p>
      <w:r>
        <w:rPr>
          <w:b/>
        </w:rPr>
        <w:t>E. 2.2</w:t>
      </w:r>
    </w:p>
    <w:p>
      <w:r>
        <w:t>In entrambe le cause può dunque entrare in linea di conto unicamente il ricorso sussidiario in materia costituzionale ( art. 113 LTF ), con il quale può essere censurata solo la violazione di diritti costituzionali ( art. 116 LTF ), secondo le modalità stabilite nell' art. 106 cpv. 2 LTF ( art. 117 LTF ). Sennonché, come pertinentemente rilevato dall'opponente, gli allegati introdotti al Tribunale federale non contengono nessuna argomentazione di rango costituzionale, indi per cui una conversione in tale rimedio è d'acchito esclusa ( DTF 134 III 379 consid. 1.2).</w:t>
      </w:r>
    </w:p>
    <w:p>
      <w:r>
        <w:rPr>
          <w:b/>
        </w:rPr>
        <w:t>E. 2.3</w:t>
      </w:r>
    </w:p>
    <w:p>
      <w:r>
        <w:t>In queste circostanze i due ricorsi devono essere dichiarati inammissibili.</w:t>
      </w:r>
    </w:p>
    <w:p>
      <w:r>
        <w:rPr>
          <w:b/>
        </w:rPr>
        <w:t>E. 3</w:t>
      </w:r>
    </w:p>
    <w:p>
      <w:r>
        <w:t>Le spese giudiziarie e le ripetibili della sede federale seguono la soccombenza (art. 66 cpv. 1 nonché 68 cpv. 1 e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