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4A_333/2020 vom 5. August 2020</w:t>
      </w:r>
    </w:p>
    <w:p>
      <w:r>
        <w:t>Bundesgericht, 2020-08-05, FR</w:t>
      </w:r>
    </w:p>
    <w:p>
      <w:r>
        <w:rPr>
          <w:b/>
        </w:rPr>
        <w:t xml:space="preserve">Quelle: </w:t>
      </w:r>
      <w:r>
        <w:t>https://mcp.opencaselaw.ch/entscheid/bger_4A_333_2020</w:t>
      </w:r>
    </w:p>
    <w:p>
      <w:r>
        <w:t>FR: TF 4A_333/2020 du 5 août 2020</w:t>
      </w:r>
    </w:p>
    <w:p>
      <w:r>
        <w:t>IT: TF 4A_333/2020 del 5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4A_333/2020 est rayée du rôle.</w:t>
      </w:r>
    </w:p>
    <w:p>
      <w:r>
        <w:rPr>
          <w:b/>
        </w:rPr>
        <w:t>E. 3</w:t>
      </w:r>
    </w:p>
    <w:p>
      <w:r>
        <w:t>Un émolument judiciaire de 200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mandataires des parties et à la Chambre des baux et loyers de la Cour de justice du canton de Genève.</w:t>
      </w:r>
    </w:p>
    <w:p>
      <w:r>
        <w:t>Lausanne, le 5 août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