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4A_333/2014 vom 23. Juli 2014</w:t>
      </w:r>
    </w:p>
    <w:p>
      <w:r>
        <w:t>Bundesgericht, 2014-07-23, DE</w:t>
      </w:r>
    </w:p>
    <w:p>
      <w:r>
        <w:rPr>
          <w:b/>
        </w:rPr>
        <w:t xml:space="preserve">Quelle: </w:t>
      </w:r>
      <w:r>
        <w:t>https://mcp.opencaselaw.ch/entscheid/bger_4A_333_2014</w:t>
      </w:r>
    </w:p>
    <w:p>
      <w:r>
        <w:t>FR: TF 4A_333/2014 du 23 juillet 2014</w:t>
      </w:r>
    </w:p>
    <w:p>
      <w:r>
        <w:t>IT: TF 4A_333/2014 del 23 luglio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und bei der Streitsache handelt es sich um eine Zivilsache ( Art. 72 BGG ) mit einem Streitwert von über Fr. 30'000.-- ( Art. 74 Abs. 1 lit. b BGG ). Auf das Rechtsmittel ist unter Vorbehalt einer hinreichenden Begründung ( Art. 42 Abs. 2 und Art. 106 Abs. 2 BGG ) einzutreten.</w:t>
      </w:r>
    </w:p>
    <w:p>
      <w:r>
        <w:rPr>
          <w:b/>
        </w:rPr>
        <w:t>E. 1.2</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1.3</w:t>
      </w:r>
    </w:p>
    <w:p>
      <w:r>
        <w:t>Mit der Beschwerde in Zivilsachen kann u.a. die Verletzung von Bundesrecht einschliesslich Bundesverfassungsrecht gerügt werden ( Art. 95 lit. a BGG ; BGE 134 III 379 E. 1.2 S. 382 f.). Nicht zu den in Art. 95 BGG vorgesehenen Rügegründen gehört hingegen die Verletzung kantonalen Rechts, dessen Anwendung und Auslegung das Bundesgericht einzig unter dem Blickwinkel eines Verstosses gegen Bundesrecht oder gegen Bundesverfassungsrecht beurteilen kann ( BGE 136 I 241 E. 2.4 S. 249; 135 III 513 E. 4.3 S. 521 f.; 134 III 379 E. 1.2 S. 382 f.).</w:t>
      </w:r>
    </w:p>
    <w:p>
      <w:r>
        <w:rPr>
          <w:b/>
        </w:rPr>
        <w:t>E. 1.4</w:t>
      </w:r>
    </w:p>
    <w:p>
      <w:r>
        <w:t>Die eidgenössische ZPO ist am 1. Januar 2011 in Kraft getreten. Nach Art. 404 Abs. 1 ZPO gilt das bisherige Verfahrensrecht für Verfahren, die bei Inkrafttreten dieses Gesetzes hängig waren, bis zum Abschluss vor der betroffenen Instanz. Das rektifizierte Urteil des erstinstanzlichen Zivilgerichts datiert vom 28. Februar 2008 und die Appellation wurde vom Beschwerdegegner am 5. März 2008, die Anschlussappellation der Beschwerdeführerinnen am 31. März 2008 erklärt. Auf das gesamte kantonale Verfahren bleibt damit die frühere Zivilprozessordnung des Kantons Basel-Stadt anwendbar, wie die Vorinstanz festhält und die Beschwerdeführerinnen zu Recht nicht bestreiten.</w:t>
      </w:r>
    </w:p>
    <w:p>
      <w:r>
        <w:rPr>
          <w:b/>
        </w:rPr>
        <w:t>E. 1.5</w:t>
      </w:r>
    </w:p>
    <w:p>
      <w:r>
        <w:t>Das Bundesgericht kann die Anwendung des von den Beschwerdeführerinnen als verletzt gerügten § 232 ZPO /BS nicht frei überprüfen. Dies verkennen die Beschwerdeführerinnen weitgehend. Wenn sie unter Darstellung ihres Verständnisses der kantonalen Norm den Prozesssachverhalt aus ihrer Sicht schildern und der Vorinstanz vorwerfen, sie lasse unbeachtet, dass die Hauptverhandlung im Zeitpunkt des Rückzugs der Appellation bereits begonnen hatte, und berücksichtige die der kantonalen Norm zugrunde liegende</w:t>
      </w:r>
    </w:p>
    <w:p>
      <w:r>
        <w:t>ratio legis bei der Anwendung des Ausnahmesachverhaltes nicht, so üben sie rein appellatorische Kritik am angefochtenen Urteil. Darauf ist nicht einzutreten.</w:t>
      </w:r>
    </w:p>
    <w:p>
      <w:r>
        <w:rPr>
          <w:b/>
        </w:rPr>
        <w:t>E. 2</w:t>
      </w:r>
    </w:p>
    <w:p>
      <w:r>
        <w:t>Die Beschwerdeführerinnen rügen, die Vorinstanz habe durch falsche Anwendung von § 232 ZPO /BS Verfassungsrecht verletzt, insbesondere ihren Anspruch auf gleiche und gerechte Behandlung vor Gerichten gemäss Art. 29 Abs. 1 BV und § 12 Abs. 1 lit. a KV/BS sowie ihren Anspruch auf rechtliches Gehör gemäss Art. 29 Abs. 2 BV und § 12 Abs. 1 lit. b KV/BS . Ausserdem sehen sie in der Beendigung des Verfahrens ohne Urteil einen Verstoss gegen das in Art. 9 BV und § 10 KV/BS gewährleistete Willkürverbot und den Schutz von Treu und Glauben. Der Beschwerde ist freilich keine Begründung zu entnehmen, wonach die Tragweite der kantonalen Gewährleistungen über die bundesverfassungsmässigen Garantien hinausgehen würde.</w:t>
      </w:r>
    </w:p>
    <w:p>
      <w:r>
        <w:rPr>
          <w:b/>
        </w:rPr>
        <w:t>E. 2.1</w:t>
      </w:r>
    </w:p>
    <w:p>
      <w:r>
        <w:t>§ 232 ZPO /BS bestimmte unter dem Marginale "Zurückziehung der Appellation" das Folgende:</w:t>
      </w:r>
    </w:p>
    <w:p>
      <w:r>
        <w:t>"Jede Partei kann die ergriffene Appellation zurückziehen, und zwar wenn die Akten dem Appellationsgericht noch nicht eingereicht sind, durch schriftliche Erklärung bei dem Präsidenten der ersten Instanz oder bei der Zivilgerichtsschreiberei; wenn die Einsendung schon stattgefunden hat, durch schriftliche Erklärung bei dem Präsidenten oder Schreiber des Appellationsgerichtes. Die Folge der Zurückziehung ist, dass, insofern die Gegenpartei nicht ihrerseits gleichfalls appelliert hat, das erstinstanzliche Urteil in Rechtskraft erwächst. Hat eine Anschliessung der Gegenpartei an die Appellation stattgefunden, so fällt sie mit der Zurückziehung dahin. Die von der Appellation wieder abstehende Partei trägt die bisher der Appellation wegen ergangenen Kosten. Von der Zurückziehung der Appellation ist der Gegenpartei durch die betreffende Gerichtskanzlei Anzeige zu machen."</w:t>
      </w:r>
    </w:p>
    <w:p>
      <w:r>
        <w:rPr>
          <w:b/>
        </w:rPr>
        <w:t>E. 2.2</w:t>
      </w:r>
    </w:p>
    <w:p>
      <w:r>
        <w:t>Die Vorinstanz hat im angefochtenen Urteil unter Verweis auf den Wortlaut dieser Norm erkannt, dass die Anschlussappellation mit der Zurückziehung der Appellation dahinfällt. Der Auffassung der Beschwerdeführerinnen, wonach die Anschlussappellation "zu Beginn der Hauptverhandlung selbständig" geworden sei, hat sie widersprochen. Zwar bestehe seit 1939 eine Praxis, wonach entgegen dem Gesetzeswortlaut mit Beginn der öffentlichen Urteilsberatung eine Verselbständigung der Anschlussappellation eintrete. Es sollten damit taktische, ergebnisorientierte Appellationsrückzüge - namentlich bei Ausstellung des Verfahrens nach der Urteilsberatung - verhindert werden. Das Gericht verwies darauf, dass der von den Beschwerdeführerinnen für ihre Ansicht zitierte Autor ( R.J. BAERLOCHER, Das Rechtsmittelsystem des baselstädtischen Zivilprozesses, 1964) zwar die Entstehung der Praxis eingehend schildere, jedoch unzutreffend oder ungenau formuliere, wenn er die Verselbständigung der Anschlussappellation mit der Hauptverhandlung eintreten lassen wolle. Sowohl aus dem Leitentscheid des Appellationsgerichts vom 14. November 1958 (BJM 1959, S. 42) wie aus dem Kommentar zur Basler Zivilprozessordnung ( B. HABERTHÜR, Praxis zur Basler Zivilprozessordnung mit Erläuterungen, Bd. II, 1964, S. 898) ergebe sich klar, dass nach Beginn der (öffentlichen) zweitinstanzlichen Urteilsberatung der Rückzug der Appellation nicht mehr zum Dahinfallen der Anschlussappellation führen könne. Die Vorinstanz hat namentlich abgelehnt, in Ausdehnung der bisherigen Praxis eine weitere Ausnahme vom klaren Gesetzeswortlaut zuzulassen. In diesem Zusammenhang hat sie dargelegt, die Beschwerdeführerinnen würden eine noch weitere Ausdehnung des vom zitierten Autor nicht nur missverstandenen, sondern auch kritisierten Ausnahmetatbestandes beanspruchen, weil die Hauptverhandlung gar noch nicht begonnen habe.</w:t>
      </w:r>
    </w:p>
    <w:p>
      <w:r>
        <w:rPr>
          <w:b/>
        </w:rPr>
        <w:t>E. 2.3</w:t>
      </w:r>
    </w:p>
    <w:p>
      <w:r>
        <w:t>Die Beschwerdeführerinnen stützen ihre Argumentation auf die Annahme, die "Verselbständigung" der Anschlussappellation trete nach der altrechtlichen kantonalen Praxis mit Beginn der Hauptverhandlung ein. Das Appellationsgericht zeigt jedoch im angefochtenen Urteil auf, dass erst nach Beginn der Urteilsberatung ein Rückzug der Appellation nach der ehemaligen kantonalen Praxis nicht mehr zum Dahinfallen der Anschlussappellation führte. Inwiefern eine solche Regelung - die dem geltenden Art. 313 Abs. 2 lit. c ZPO entspricht (dazu BGE 138 III 788 E. 4 S. 789 ff.) - die von den Beschwerdeführerinnen angerufenen Grundrechte verletzen sollte, lässt sich der Beschwerde nicht entnehmen und wäre im Übrigen auch nicht ersichtlich.</w:t>
      </w:r>
    </w:p>
    <w:p>
      <w:r>
        <w:rPr>
          <w:b/>
        </w:rPr>
        <w:t>E. 3</w:t>
      </w:r>
    </w:p>
    <w:p>
      <w:r>
        <w:t>Die Beschwerde ist abzuweisen, soweit darauf eingetreten werden kann.</w:t>
      </w:r>
    </w:p>
    <w:p>
      <w:r>
        <w:t>Diesem Ausgang entsprechend tragen die Beschwerdeführerinnen die Kosten des bundesgerichtlichen Verfahrens und haben dem anwaltlich vertretenen Beschwerdegegner dessen Parteikosten zu ersetzen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