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4A_332/2023 vom 11. Januar 2024</w:t>
      </w:r>
    </w:p>
    <w:p>
      <w:r>
        <w:t>Bundesgericht, 2024-01-11, FR</w:t>
      </w:r>
    </w:p>
    <w:p>
      <w:r>
        <w:rPr>
          <w:b/>
        </w:rPr>
        <w:t xml:space="preserve">Quelle: </w:t>
      </w:r>
      <w:r>
        <w:t>https://mcp.opencaselaw.ch/entscheid/bger_4A_332_2023</w:t>
      </w:r>
    </w:p>
    <w:p>
      <w:r>
        <w:t>FR: TF 4A_332/2023 du 11 janvier 2024</w:t>
      </w:r>
    </w:p>
    <w:p>
      <w:r>
        <w:t>IT: TF 4A_332/2023 del 11 gennaio 2024</w:t>
      </w:r>
    </w:p>
    <w:p>
      <w:pPr>
        <w:pStyle w:val="Heading2"/>
      </w:pPr>
      <w:r>
        <w:t>Erwägungen</w:t>
      </w:r>
    </w:p>
    <w:p>
      <w:r>
        <w:rPr>
          <w:b/>
        </w:rPr>
        <w:t>E. 1</w:t>
      </w:r>
    </w:p>
    <w:p>
      <w:r>
        <w:t>Interjeté en temps utile ( art. 100 al. 1 LTF ) par les locataires qui ont succombé dans leurs conclusions ( art. 76 al. 1 LTF ), dirigé contre une décision finale ( art. 90 LTF ) rendue sur appel par le Tribunal supérieur du canton de Genève ( art. 75 LTF ) dans une affaire de droit du bail ( art. 72 al. 1 LTF ) dont la valeur litigieuse excède 15'000 fr. ( art. 74 al. 1 let. a LTF ), le présent recours en matière civile est recevable sur le principe.</w:t>
      </w:r>
    </w:p>
    <w:p>
      <w:r>
        <w:rPr>
          <w:b/>
        </w:rPr>
        <w:t>E. 2.1</w:t>
      </w:r>
    </w:p>
    <w:p>
      <w:r>
        <w:t>Le Tribunal fédéral statue sur la base des faits établis par l'autorité précédente ( art. 105 al. 1 LTF ). Il ne peut s'en écarter que si ces faits ont été établis de façon manifestement inexacte, c'est-à-dire arbitraire selon l' art. 9 Cst. , ou en violation du droit au sens de l' art. 95 LTF ( art. 105 al. 2 LTF ), et si la correction du vice est susceptible d'influer sur le sort de la cause ( art. 97 al. 1 LTF ).</w:t>
      </w:r>
    </w:p>
    <w:p>
      <w:r>
        <w:t>L'appréciation des preuves est arbitraire si le juge du fait n'a manifestement pas compris le sens et la portée d'un moyen de preuve, a omis sans raisons objectives de tenir compte des preuves pertinentes ou a tiré des éléments recueillis des déductions insoutenables ( ATF 137 III 226 consid. 4.2; 136 III 552 consid. 4.2).</w:t>
      </w:r>
    </w:p>
    <w:p>
      <w:r>
        <w:t>La critique de l'état de fait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compléter l'état de fait, elle doit aussi démontrer, par des renvois précis aux pièces du dossier, qu'elle a présenté aux autorités précédentes, en conformité avec les règles de la procédure, les faits juridiquement pertinents et les moyens de preuve adéquats ( ATF 140 III 86 consid. 2). Si la critique ne satisfait pas à ces exigences, les allégations relatives à un état de fait s'écartant de celui de la décision attaquée ne seront pas prises en considération ( ATF 140 III 16 consid. 1.3.1).</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Les parties ont été liées par un contrat de bail auquel la bailleresse a mis fin pour le motif que les locataires ne s'étaient pas acquittées du loyer de décembre 2020 malgré sa mise en demeure formelle ( art. 257d CO ). Le litige porte sur cette résiliation que les locataires tiennent pour nulle.</w:t>
      </w:r>
    </w:p>
    <w:p>
      <w:r>
        <w:rPr>
          <w:b/>
        </w:rPr>
        <w:t>E. 3.1</w:t>
      </w:r>
    </w:p>
    <w:p>
      <w:r>
        <w:t>La cour cantonale a constaté, en fait, que les locataires avaient versé un montant de 253'704 fr. pour la période du 1er octobre 2016 au 31 décembre 2020. Le dernier versement était intervenu le 1er octobre 2020.</w:t>
      </w:r>
    </w:p>
    <w:p>
      <w:r>
        <w:t>Les loyers du 1er octobre 2016 au 30 novembre 2020 totalisaient 252'256 fr.</w:t>
      </w:r>
    </w:p>
    <w:p>
      <w:r>
        <w:t>De la sorte, les locataires avaient payé 1'448 fr. en trop pour cette période.</w:t>
      </w:r>
    </w:p>
    <w:p>
      <w:r>
        <w:t>Cet excédent était insuffisant pour compenser intégralement le loyer de décembre 2020 qui s'élevait à 5'078 fr., charges comprises.</w:t>
      </w:r>
    </w:p>
    <w:p>
      <w:r>
        <w:t>Partant, la résiliation avait été donnée à bon droit puisque la totalité du loyer de décembre 2020 n'avait pas été payée à l'échéance du délai comminatoire.</w:t>
      </w:r>
    </w:p>
    <w:p>
      <w:r>
        <w:rPr>
          <w:b/>
        </w:rPr>
        <w:t>E. 3.2</w:t>
      </w:r>
    </w:p>
    <w:p>
      <w:r>
        <w:t>Les locataires y voient une violation de l' art. 257d CO . A leur sens, l'avis comminatoire aurait dû indiquer précisément le montant en souffrance (5'078 fr../. 1'448 fr.). Or, le montant dont il faisait état serait "sans rapport" avec celui effectivement dû. A en juger par le décompte ultérieurement produit par l'intimée, celle-ci n'avait aucune idée de la somme que lui devaient encore les locataires à la date cruciale. L'avis querellé aurait donc été privé d'effet et la résiliation de bail consécutive serait frappée de nullité.</w:t>
      </w:r>
    </w:p>
    <w:p>
      <w:r>
        <w:rPr>
          <w:b/>
        </w:rPr>
        <w:t>E. 4.1</w:t>
      </w:r>
    </w:p>
    <w:p>
      <w:r>
        <w:t>Selon l' art. 257d CO ,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si, à l'expiration du délai fixé, le locataire n'a pas payé, le bailleur peut résilier le bail moyennant un délai de 30 jours pour la fin d'un mois (al. 2).</w:t>
      </w:r>
    </w:p>
    <w:p>
      <w:r>
        <w:t>Cette réglementation de droit matériel mise en place par le législateur signifie que le locataire mis en demeure doit évacuer l'objet loué dans les plus brefs délais s'il ne paie pas le loyer et les frais accessoires en retard (arrêt 4A_385/2022 du 14 février 2023 consid. 3.1; sur la notification de l'avis comminatoire et de la résiliation, cf. arrêt 4A_234/2022 du 21 novembre 2022 consid. 4.1). La rigueur de la sanction prévue par cette réglementation présuppose, en particulier, que l'avis comminatoire soit suffisamment clair et précis.</w:t>
      </w:r>
    </w:p>
    <w:p>
      <w:r>
        <w:t>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4A_436/2018 du 17 janvier 2019 consid. 4.1; 4A_306/2015 du 14 octobre 2015 consid. 2; 4A_134/2011 du 23 mai 2011 consid. 3). Ainsi, lorsque l'avis comminatoire désigne précisément les mois de loyers impayés, le montant de l'arriéré est déterminable (arrêts 4A_436/2018 précité consid. 4.1; 4A_306/2015 précité consid. 2; 4A_134/2011 précité consid. 3; 4C.123/2000 du 14 juin 2000 consid. 3b). Si les mois de loyers impayés ne sont pas mentionnés et que le montant de l'arriéré indiqué est sans rapport avec la somme effectivement en souffrance, l'avis comminatoire ne satisfait pas aux exiences de clarté et de précision permettant au locataire de reconnaître de combien de mois de loyers il doit s'acquitter dans le délai comminatoire (arrêts 4A_436/2018 précité consid. 4.1; 4A_134/2011 précité consid. 3 in fine). En revanche, l'indication d'un arriéré trop élevé n'entraîne pas nécessairement l'inefficacité de l'avis comminatoire: le locataire qui constate une erreur doit la signaler au bailleur, à défaut de quoi il ne mérite pas d'être protégé (arrêts 4A_550/2020 du 29 avril 2021 consid. 7.2; 4A_436/2018 précité consid. 4.1; 4A_330/2017 du 8 février 2018 consid. 3.1 et les arrêts cités).</w:t>
      </w:r>
    </w:p>
    <w:p>
      <w:r>
        <w:rPr>
          <w:b/>
        </w:rPr>
        <w:t>E. 4.2</w:t>
      </w:r>
    </w:p>
    <w:p>
      <w:r>
        <w:t>En l'espèce, la bailleresse a adressé un avis comminatoire aux locataires dans lequel elle leur réclamait le versement du loyer de décembre 2020 qu'elle estimait dû dans sa totalité. En réalité, les locataires avaient versé un excédent de loyers durant la période précédente dont elles auraient pu demander la compensation, auquel cas elles auraient dû verser un montant un peu moins élevé (5'078./. 1'448 fr.). Cette différence n'a toutefois pas d'impact sur la validité de l'avis comminatoire; en effet, bien que le montant fût trop élevé, les locataires n'ont signalé aucune erreur à la bailleresse et n'ont pris aucune mesure pour régler le montant qu'elles estimaient exact. Comme la jurisprudence précitée l'a déjà indiqué à plusieurs reprises, ceci réduit à néant leur seul moyen d'attaque. Les locataires tentent vaguement de prétendre qu'elles n'ont pas pu aviser la bailleresse de cette erreur, faute d'avoir effectivement reçu l'avis comminatoire en question; cette tentative se heurte toutefois à la fiction de sa réception, à laquelle la cour cantonale les a déjà rendues attentives ( ATF 137 III 208 ; 140 III 244 ). Pour finir, le caractère chaotique du décompte que l'intimée leur a fait parvenir par la suite n'a aucune incidence sur cet avis comminatoire qui est largement antérieur.</w:t>
      </w:r>
    </w:p>
    <w:p>
      <w:r>
        <w:t>Il n'y a dès lors pas de violation de l' art. 257d CO qu'il s'agirait de redresser.</w:t>
      </w:r>
    </w:p>
    <w:p>
      <w:r>
        <w:rPr>
          <w:b/>
        </w:rPr>
        <w:t>E. 5</w:t>
      </w:r>
    </w:p>
    <w:p>
      <w:r>
        <w:t>Partant, le recours ne peut qu'être rejeté, dans la mesure où il est recevable. Les recourantes supporteront donc les frais de la procédure, solidairement entre elles ( art. 66 al. 1 LTF ). Elles verseront, également à titre solidaire,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