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32/2017 vom 9. Februar 2017</w:t>
      </w:r>
    </w:p>
    <w:p>
      <w:r>
        <w:t>Bundesgericht, 2017-02-09, DE</w:t>
      </w:r>
    </w:p>
    <w:p>
      <w:r>
        <w:rPr>
          <w:b/>
        </w:rPr>
        <w:t xml:space="preserve">Quelle: </w:t>
      </w:r>
      <w:r>
        <w:t>https://mcp.opencaselaw.ch/entscheid/bger_4A_32_2017</w:t>
      </w:r>
    </w:p>
    <w:p>
      <w:r>
        <w:t>FR: TF 4A 32/2017 du 9 février 2017</w:t>
      </w:r>
    </w:p>
    <w:p>
      <w:r>
        <w:t>IT: TF 4A 32/2017 del 9 febbraio 2017</w:t>
      </w:r>
    </w:p>
    <w:p>
      <w:pPr>
        <w:pStyle w:val="Heading2"/>
      </w:pPr>
      <w:r>
        <w:t>Regeste</w:t>
      </w:r>
    </w:p>
    <w:p>
      <w:r>
        <w:t>vorsorgliche Massnahmen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333 E. 1.2; 137 III 324 E. 1.1 S. 327 f.). Gegen solche ist die Beschwerde - von der hier ausser Betracht fallenden alternativen Voraussetzung nach Art. 93 Abs. 1 lit. b BGG abgesehen -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141 III 80 E. 1.2 S. 80, 395 E. 2.5; 140 V 321 E. 3.6 S. 326; 139 IV 113 E. 1 S. 115; 139 V 604 E. 3.2; 138 III 46 E. 1.2 S. 47, 333 E. 1.3.1; 137 III 380 E. 1.2.1 S. 382). Rein tatsächliche Nachteile wie die Verlängerung oder Verteuerung des Verfahrens reichen nicht aus ( BGE 141 III 80 E. 1.2 S. 80; 395 E. 2.5; 140 V 321 E. 3.6 S. 326; 138 III 190 E. 6 S. 192; 137 III 380 E. 1.2.1). Die selbständige Anfechtbarkeit von Zwischenentscheiden bildet aus prozessökonomischen Gründen eine Ausnahme vom Grundsatz, dass sich das Bundesgericht mit jeder Angelegenheit nur einmal befassen soll ( BGE 141 III 80 E. 1.2 S. 81; 139 IV 113 E. 1 S. 115; 138 III 94 E. 2.2). Die Ausnahme ist restriktiv zu handhaben ( BGE 138 III 94 E. 2.2; 134 III 188 E. 2.2; 133 IV 288 E. 3.2). Die beschwerdeführende Partei hat in der Beschwerdebegründung aufzuzeigen, inwiefern ihr infolge des angefochtenen Massnahmeentscheids im konkreten Fall ein rechtlicher Nachteil im Sinne von Art. 93 Abs. 1 lit. a BGG droht, ansonsten auf die Beschwerde mangels hinreichender Begründung nicht einzutreten ist ( BGE 137 III 324 E. 1.1 S. 328 f.; seither etwa Urteile 2C_547/2015 vom 7. Januar 2016 E. 1.3; 4A_87/2015 vom 9. Juni 2015 E. 1.1; 4A_585/2014 vom 27. November 2014 E. 1.1; 5A_853/2013 vom 23. Mai 2014 E. 1; 4A_347/2013 vom 7. November 2013 E. 1.4.1; 4A_567/2012 vom 9. April 2013 E. 1.1; 4A_36/2012 vom 26. Juni 2012 E. 1.2).</w:t>
      </w:r>
    </w:p>
    <w:p>
      <w:r>
        <w:rPr>
          <w:b/>
        </w:rPr>
        <w:t>E. 1.2</w:t>
      </w:r>
    </w:p>
    <w:p>
      <w:r>
        <w:t>Der angefochtene Entscheid betrifft ein Gesuch um vorsorgliche Massnahmen, die vor einem Hauptverfahren beantragt wurden und nur unter der Bedingung Bestand hätten, dass innert Frist ein Hauptverfahren eingeleitet wird. Wie die Beschwerdeführerin zutreffend ausführt, handelt es sich dabei um einen Zwischenentscheid im Sinne von Art. 93 BGG .</w:t>
      </w:r>
    </w:p>
    <w:p>
      <w:r>
        <w:rPr>
          <w:b/>
        </w:rPr>
        <w:t>E. 1.3.1</w:t>
      </w:r>
    </w:p>
    <w:p>
      <w:r>
        <w:t>Die Beschwerdeführerin bringt vor, sie wehre sich mit dem Massnahmeverfahren gegen Praktiken der Beschwerdegegnerin, die aus ihrer Sicht rechtswidrig und damit auch unlauter seien; konkret importiere und vertreibe die Beschwerdeführerin verschiedene Tabakprodukte, die in der Schweiz verboten seien. Die Tätigkeiten der Beschwerdegegnerin verletzten unmittelbar die rechtlich geschützten Interessen der Beschwerdeführerin, da diese erhebliche Investitionen zur Entwicklung eines in der Schweiz legalen Produkts getätigt habe und dieses Produkt zurzeit auf dem schweizerischen Markt lanciere. In diesem Zusammenhang seien ihr erhebliche Kosten entstanden, die aufgrund der noch andauernden Tätigkeiten der Beschwerdegegnerin letztlich nutzlos würden. Die andauernde Einfuhr und Abgabe der streitgegenständlichen Produkte durch die Beschwerdegegnerin verletze die lauterkeitsrechtlich geschützten Interessen der Beschwerdeführerin, da diese dadurch unrechtmässig konkurrenziert bzw. behindert werde. Indem die Beschwerdegegnerin verbotene Produkte verkaufe, bediene sie Konsumenten, die ansonsten andere (legale) Tabakprodukte nachfragen würden. Die finanziellen Einbussen, die den Wettbewerbern der Beschwerdegegnerin (und damit auch der Beschwerdeführerin) entstünden, seien nur sehr schwer zu beziffern, da nicht mit Sicherheit gesagt werden könne, wie viele Konsumenten tatsächlich den verbotenen Mundtabak der Beschwerdegegnerin konsumierten statt die legalen Produkte der Beschwerdeführerin. Der drohende Nachteil sei aber auch deshalb nicht wieder gutzumachen, weil der Markteintritt der Beschwerdeführerin mit ihrem legalen Produkt erheblich erschwert werde, solange die Beschwerdegegnerin ihre rechtswidrigen Produkte im Schweizer Markt abgebe; zudem würden ihre Investitionen in die Entwicklung eines in der Schweiz zulässigen Produkts frustriert. Daher könne sie nicht auf das ordentliche Verfahren und die Möglichkeit verwiesen werden, in diesem Rahmen einen Schadenersatzanspruch geltend zu machen. Die zurzeit andauernde Behinderung der Beschwerdeführerin könne mit einem Endentscheid nicht mehr nachträglich beseitigt werden.</w:t>
      </w:r>
    </w:p>
    <w:p>
      <w:r>
        <w:rPr>
          <w:b/>
        </w:rPr>
        <w:t>E. 1.3.2</w:t>
      </w:r>
    </w:p>
    <w:p>
      <w:r>
        <w:t>Die Beschwerdeführerin vermag mit ihren Ausführungen nicht aufzuzeigen, dass sie infolge des angefochtenen Massnahmeentscheids einen Nachteil rechtlicher Natur erleiden würde, der auch durch einen für sie günstigen Entscheid in der Zukunft nicht mehr behoben werden könnte. Bei den von ihr ins Feld geführten Kosten für die Entwicklung ihres Produkts handelt es sich um eigene Aufwendungen, von denen sie offenkundig Kenntnis hat und die sie entsprechend belegen kann. Zudem behauptet die Beschwerdeführerin lediglich pauschal, ohne die beantragte Massnahme werde ihr Markteintritt mit ihrem Produkt erheblich erschwert, begründet jedoch nicht konkret, inwiefern ihr dadurch verunmöglicht würde, ihren tatsächlich durch die verweigerte Massnahme erlittenen Schaden in einem Schadenersatzprozess aufzuzeigen. Insbesondere wird die Beschwerdeführerin durch den angefochtenen Massnahmeentscheid nicht generell in ihrer wirtschaftlichen Entfaltung auf dem Markt gehemmt, indem ihr etwa verboten würde, ein neues Produkt auf dem Markt zu lancieren (vgl. Urteile 4A_585/2014 vom 27. November 2014 E. 1.1.1; 4A_36/2012 vom 26. Juni 2012 E. 1.3.1). Im Gegenteil bringt sie in der Beschwerdeschrift selber vor, ihr Markteintritt habe während des vorinstanzlichen Verfahrens tatsächlich stattgefunden und das von ihr entwickelte Produkt sei nunmehr unter der Marke "I.________" in der Schweiz im Handel erhältlich. Unter diesen Umständen erscheint nicht als ausgeschlossen, dass der Schaden - sollte die Beschwerdeführerin mit dem angestrebten Verbot im Hauptverfahren durchdringen und die Beschwerdegegnerin fortan die strittigen Produkte nicht mehr verkaufen dürfen - hinreichend belegt oder wenigstens in Anwendung von Art. 42 Abs. 2 OR geschätzt werden kann. Bei der von ihr ins Feld geführten Schwierigkeit, im Einzelnen nachzuweisen, wie viele Konsumenten bis zu einem allfälligen Verbot die (angeblich verbotenen) Produkte der Beschwerdegegnerin statt derjenigen der Beschwerdeführerin kauften, handelt es sich um einen bloss tatsächlichen Nachteil, der keine ausnahmsweise Anfechtung eines Zwischenentscheids rechtfertigt (vgl. Urteil 4A_36/2012 vom 26. Juni 2012 E. 1.3.1). Die Beschwerdeführerin vermag nicht aufzuzeigen, dass ihr durch den angefochtenen Massnahmeentscheid ein nicht wieder gutzumachender Nachteil im Sinne von Art. 93 Abs. 1 lit. a BGG droht. Die Voraussetzungen für die Anfechtbarkeit von Zwischenentscheiden sind daher nicht erfüllt, weshalb auf die Beschwerde nicht eingetreten werden kann.</w:t>
      </w:r>
    </w:p>
    <w:p>
      <w:r>
        <w:rPr>
          <w:b/>
        </w:rPr>
        <w:t>E. 2</w:t>
      </w:r>
    </w:p>
    <w:p>
      <w:r>
        <w:t>Dem Ausgang des Verfahrens entsprechend wird die Beschwerdeführerin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