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4A_32/2015 vom 20. Mai 2015</w:t>
      </w:r>
    </w:p>
    <w:p>
      <w:r>
        <w:t>Bundesgericht, 2015-05-20, DE</w:t>
      </w:r>
    </w:p>
    <w:p>
      <w:r>
        <w:rPr>
          <w:b/>
        </w:rPr>
        <w:t xml:space="preserve">Quelle: </w:t>
      </w:r>
      <w:r>
        <w:t>https://mcp.opencaselaw.ch/entscheid/bger_4A_32_2015</w:t>
      </w:r>
    </w:p>
    <w:p>
      <w:r>
        <w:t>FR: TF 4A_32/2015 du 20 mai 2015</w:t>
      </w:r>
    </w:p>
    <w:p>
      <w:r>
        <w:t>IT: TF 4A_32/2015 del 20 maggio 2015</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Die Beschwerde richtet sich gegen einen verfahrensabschliessenden Rechtsmittelentscheid eines oberen kantonalen Gerichts ( Art. 75 BGG ), ist innert der Beschwerdefrist ( Art. 100 BGG ) von der mit ihren Rechtsbegehren unterlegenen Partei ( Art. 76 BGG ) eingereicht worden und bei der Streitsache handelt es sich um eine Zivilsache ( Art. 72 BGG ) mit einem Streitwert von über Fr. 30'000.-- ( Art. 74 Abs. 1 lit. b BGG ).</w:t>
      </w:r>
    </w:p>
    <w:p>
      <w:r>
        <w:rPr>
          <w:b/>
        </w:rPr>
        <w:t>E. 1.2</w:t>
      </w:r>
    </w:p>
    <w:p>
      <w:r>
        <w:t>Beim vorliegend angefochtenen Entscheid über vorsorgliche Beweisführung handelt es sich um einen Entscheid i.S. von Art. 98 BGG ( BGE 138 III 46 E. 1.1 S. 46; 133 III 638 E. 2 S. 639). Dagegen kann nur die Verletzung verfassungsmässiger Rechte gerügt werden.</w:t>
      </w:r>
    </w:p>
    <w:p>
      <w:r>
        <w:t>Die Verletzung von verfassungsmässigen 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134 I 83 E. 3.2 S. 88; 134 II 244 E. 2.2 S. 246; 133 III 439 E. 3.2 S. 444 f.; je mit Hinweisen).</w:t>
      </w:r>
    </w:p>
    <w:p>
      <w:r>
        <w:rPr>
          <w:b/>
        </w:rPr>
        <w:t>E. 1.3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w:t>
      </w:r>
    </w:p>
    <w:p>
      <w:r>
        <w:rPr>
          <w:b/>
        </w:rPr>
        <w:t>E. 2</w:t>
      </w:r>
    </w:p>
    <w:p>
      <w:r>
        <w:t>Die Beschwerdeführerin wirft der Vorinstanz eine Verletzung von " Art. 9 BV i.V.m. Art. 52 ZPO , i.V.m. Art. 55 ZPO und i.V.m. Art. 221 ZPO sowie Art. 29 BV " vor, indem diese davon ausgegangen sei, dass die Beschwerdeführerin ihr subeventualiter gestelltes Widergesuch nicht begründet habe.</w:t>
      </w:r>
    </w:p>
    <w:p>
      <w:r>
        <w:rPr>
          <w:b/>
        </w:rPr>
        <w:t>E. 2.1</w:t>
      </w:r>
    </w:p>
    <w:p>
      <w:r>
        <w:t>Das Obergericht hielt fest, dass die Beschwerdeführerin in ihrer Gesuchsantwort vom 10. Juni 2014 keine Ausführungen gemacht habe zu den einzelnen materiellen und prozessualen Voraussetzungen für den Fall, dass ihre Anträge als selbständiges Begehren um vorsorgliche Beweisführung zu verstehen wären. An der einzigen Stelle, in der vom eigenständigen Begehren die Rede sei, nämlich in Rz. 43 auf S. 12 der Gesuchsantwort, fänden sich weder Ausführungen zu einer möglichen gesetzlichen Grundlage noch zu einer Gefährdung der Beweismittel noch zu einem schutzwürdigen Interesse der Beschwerdeführerin i.S. von Art. 158 ZPO . Damit habe die Beschwerdeführerin zumindest dort, wo eine entsprechende Begründung zu erwarten gewesen wäre, keine (bzw. keine als solche erkennbare) nähere Begründung für ihren Antrag geliefert. Da sich der Subeventualantrag nicht zusammen mit allen übrigen Anträgen am Anfang der Rechtsschrift befinde, könne auch nicht wie bei jenen Anträgen einfach darauf geschlossen werden, sämtliche weiteren Ausführungen in den entsprechenden Rechtsschriften stellten deren Begründung dar. Dies gelte umso mehr, als an der Stelle der Gesuchsantwort, an der sich der Subeventualantrag befinde (S. 12 Rz. 43), ein Verweis auf eine allfällige Begründung an anderem Orte fehle.</w:t>
      </w:r>
    </w:p>
    <w:p>
      <w:r>
        <w:t>Zum Vorwurf der Beschwerdeführerin, das Bezirksgericht beschränke seine Suche nach der Begründung zu Unrecht nur auf die besagte Textpassage, führte das Obergericht aus, dass es nicht die Aufgabe des Bezirksgerichts sein könne, die Erfüllung der nötigen Voraussetzungen einer vorsorglichen Beweisführung aus einem Gesamtzusammenhang "heraus zu spüren ". Vielmehr obliege es der Beschwerdeführerin klar aufzuzeigen, auf welches Fundament sie den von ihr gestellten Antrag um vorsorgliche Beweisführung stütze. Auch wenn man der Argumentation der Beschwerdeführerin folgen wollte, gelte es zu beachten, dass diese in den weiteren Teilen ihrer Rechtsschriften an die Vorinstanz primär Argumente dafür aufgeführt habe, weshalb die Voraussetzungen für die Gutheissung des Gesuches der Gegenseite nicht erfüllt seien. So habe die Beschwerdeführerin etwa unmittelbar vor der genannten Passage ausgeführt: "Demgegenüber versäumt es die Gesuchstellerin, die Gefährdung von Beweismitteln resp. ein schutzwürdiges Interesse im Sinne von Art. 158 Abs. 1 lit. b ZPO darzutun; sie bezieht sich schon gar nicht auf diese Bestimmung " (Gesuchsantwort, S. 12, Rz. 41). Diese Begründung habe die Beschwerdeführerin schliesslich auch für ihren Antrag an das Bezirksgericht angeführt, wonach das gegnerische Gesuch abzuweisen sei, soweit darauf überhaupt einzutreten sei. Nach Auffassung der Vorinstanz sei es nun aber widersprüchlich, die gleiche Argumentation, die gegen den Hauptantrag der Gegenpartei vorgebracht wird, auch als Begründung für ein eigenes gleichartiges Begehren in derselben Sache heranziehen zu wollen. Auch wenn die Beschwerdeführerin in ihren Eingaben an das Bezirksgericht (neben der Bestreitung der Sachverhaltsdarstellung der Gegenseite) gewisse Standpunkte anerkannt und einige eigene Ausführungen zu Vorkommnissen im fraglichen Zusammenhang gemacht habe, habe sie allein dadurch die nötige Begründung für ihr Widergesuch nicht geliefert. Von einer anwaltlich vertretenen Partei dürfe erwartet werden, dass gestellte Anträge begründet würden und dem Gericht wie auch der Gegenseite konzis dargelegt werde, welcher Sachverhalt und welche Beweismittel aus Sicht der Partei für die Gutheissung welches Begehrens sprechen bzw. dass wenigstens eine Verbindung zwischen Antrag und dazugehöriger (allenfalls an anderer Stelle erörterter) Sachverhaltsdarstellung hergestellt wird.</w:t>
      </w:r>
    </w:p>
    <w:p>
      <w:r>
        <w:rPr>
          <w:b/>
        </w:rPr>
        <w:t>E. 2.2</w:t>
      </w:r>
    </w:p>
    <w:p>
      <w:r>
        <w:t>Die gegen diese Erwägungen vorgetragenen Rügen der Beschwerdeführerin sind unbegründet:</w:t>
      </w:r>
    </w:p>
    <w:p>
      <w:r>
        <w:rPr>
          <w:b/>
        </w:rPr>
        <w:t>E. 2.2.1</w:t>
      </w:r>
    </w:p>
    <w:p>
      <w:r>
        <w:t>Entgegen der in der Beschwerdeschrift vertretenen Auffassung haben die kantonalen Instanzen keineswegs "eine unbestrittenermassen vorhandene detaillierte Begründung der Beschwerdeführerin vor erster Instanz von total immerhin 24 Seiten allein aufgrund des Umstandes, dass der Antrag nicht am Anfang der Rechtsschrift platziert war und dass am Ort, wo der Antrag platziert war, kein Verweis zu finden war, vollständig ausser Acht gelassen". Vielmehr hat die Vorinstanz diese "detaillierte Begründung" sehr wohl zur Kenntnis genommen, daraus aber geschlossen, dass diese nicht das Widergesuch der Beschwerdeführerin stütze, sondern sich auf den Antrag auf Abweisung des Gesuchs der Beschwerdegegnerin bzw. die Eventualanträge beziehe. Entsprechend hat die Vorinstanz es denn auch als "widersprüchlich" bezeichnet, wenn die Beschwerdeführerin mit ihren gegen das Gesuch der Beschwerdegegnerin angeführten Argumenten gleichzeitig ihr eigenes Widergesuch stützen wolle.</w:t>
      </w:r>
    </w:p>
    <w:p>
      <w:r>
        <w:rPr>
          <w:b/>
        </w:rPr>
        <w:t>E. 2.2.2</w:t>
      </w:r>
    </w:p>
    <w:p>
      <w:r>
        <w:t>Entgegen der Auffassung der Beschwerdeführerin war die Vorinstanz bzw. das Bezirksgericht sodann unter verfassungsrechtlichen Gesichtspunkten nicht gehalten, "die gesamte Begründung der Beschwerdeführerin für die subeventualiter erhobene Eventualwiderklage" zu beachten. Denn damit meint die Beschwerdeführerin nichts anderes, als dass das Bezirksgericht aus der Gesuchsantwort vom 10. Juni 2014 sowie der abschliessenden Stellungnahme vom 28. Juli 2014 sämtliche - auch nur angedeuteten - Elemente hätte heraussuchen sollen, die das Widergesuch stützen könnten.</w:t>
      </w:r>
    </w:p>
    <w:p>
      <w:r>
        <w:t>Damit verkennt die Beschwerdeführerin aber, dass ein Rechtsschutzgesuch gemäss Art. 221 Abs. 1 lit. b und d ZPO sowohl ein Rechtsbegehren als auch Tatsachenbehauptungen zu enthalten hat, wobei die Parteien nach dem vorliegend anwendbaren Art. 55 Abs. 1 ZPO jene Tatsachen darzulegen haben, auf die sie ihr Rechtsbegehren stützen. Das Gesetz geht mithin von der Vorstellung aus, dass es den Parteien obliegt, eine</w:t>
      </w:r>
    </w:p>
    <w:p>
      <w:r>
        <w:t>Verbindung zwischen dem</w:t>
      </w:r>
    </w:p>
    <w:p>
      <w:r>
        <w:t>Rechtsbegehren und den</w:t>
      </w:r>
    </w:p>
    <w:p>
      <w:r>
        <w:t>Tatsachenbehauptungen herzustellen, und es nicht die Aufgabe des Gerichts sein kann, eine solche Verbindung zu rekonstruieren, wenn sie in der Rechtsschrift nicht klar erkennbar aufgezeigt wird.</w:t>
      </w:r>
    </w:p>
    <w:p>
      <w:r>
        <w:t>Soweit die Beschwerdeführerin der Vorinstanz in diesem Zusammenhang gar einen Verstoss gegen den Grundsatz von Treu und Glauben im Prozess ( Art. 52 ZPO ) vorwirft, da diese angeblich nicht untersucht habe "auf welchen Teil der Begründung " sich ihr subeventualiter gestelltes Widergesuch stütze, übersieht sie, dass auch unter dem Gesichtspunkt von Art. 52 ZPO vom Gericht nicht verlangt werden kann, die notwendige Verbindung zwischen den Tatsachenbehauptungen und den Rechtsbegehren aus einer ausgesprochen unübersichtlich redigierten Rechtsschrift durch wohlwollende Auslegung zu rekonstruieren. Art. 52 ZPO bindet im Übrigen nicht nur das Gericht, sondern auch die Parteien bei der Vornahme ihrer Prozesshandlungen gegenüber dem Gericht und damit namentlich bei der Abfassung ihrer Rechtsschriften.</w:t>
      </w:r>
    </w:p>
    <w:p>
      <w:r>
        <w:rPr>
          <w:b/>
        </w:rPr>
        <w:t>E. 2.2.3</w:t>
      </w:r>
    </w:p>
    <w:p>
      <w:r>
        <w:t>Soweit die Beschwerdeführerin argumentiert, dass sie das Widergesuch auf den exakt gleichen Sachverhalt wie das Hauptgesuch der Beschwerdegegnerin gestützt und lediglich subeventualiter für den Fall gestellt habe, dass die Fragen vom Gericht nicht als Ergänzungsfragen, sondern als eigenständige Fragen entgegengenommen würden, scheint sie weiter den Unterschied zwischen blossen Ergänzungsfragen im Rahmen des vom Prozessgegner beantragten Gutachtens und einem eigenen vorsorglichen Gutachten zu verkennen:</w:t>
      </w:r>
    </w:p>
    <w:p>
      <w:r>
        <w:t>Nach der bundesgerichtlichen Rechtsprechung obliegt es in erster Linie dem Gesuchsteller, dem Gericht die Fragen zu unterbreiten, die dem Experten zu stellen sind. Der Gesuchsgegner kann dabei durch eigene Fragen oder durch Zusatz- und Ergänzungsfragen seinen eigenen Standpunkt in das Verfahren einbringen, wobei das Gericht dafür zu sorgen hat, dass der durch das Gesuch definierte Prozessgegenstand gewahrt bleibt und nicht durch Ergänzungsfragen erweitert wird. Der Gesuchsgegner kann eine Ausdehnung der Beweisführung auf weitere Tatsachen sowie die Abnahme von Gegenbeweismitteln nur insoweit beantragen, als auch diesbezüglich - aus Sicht des Gesuchsgegners - die Voraussetzungen von Art. 158 ZPO erfüllt sind ( BGE 140 III 16 E. 2.2.3 S. 20 f.). Diese muss der Gesuchsgegner selber so dartun, wie wenn er ein eigenes Gesuch (oder eben ein Widergesuch) stellen würde.</w:t>
      </w:r>
    </w:p>
    <w:p>
      <w:r>
        <w:t>Damit kann es aber nicht angehen, vom Gericht zu verlangen, aus den für die Aufnahme von Ergänzungsfragen vorgetragenen Argumenten jene herauszusuchen, die sich auch zur Begründung eines eigenständigen (Wider-) gesuchs der Beschwerdeführerin eignen könnten. Die Beschwerdeführerin war vielmehr gehalten, ihre Rechtsschrift so abzufassen, dass ihrem Widergesuch eine entsprechende Begründung klar erkennbar zugeordnet werden kann.</w:t>
      </w:r>
    </w:p>
    <w:p>
      <w:r>
        <w:t>Die unübersichtliche Gestaltung ihrer Rechtsschriften hat sich die Beschwerdeführerin nach Treu und Glauben selber entgegenhalten zu lassen. Eine Verletzung verfassungsmässiger Rechte durch die Vorinstanz ist nicht ersichtlich.</w:t>
      </w:r>
    </w:p>
    <w:p>
      <w:r>
        <w:rPr>
          <w:b/>
        </w:rPr>
        <w:t>E. 3</w:t>
      </w:r>
    </w:p>
    <w:p>
      <w:r>
        <w:t>Die Beschwerde erweist sich als unbegründet und ist abzuweisen.</w:t>
      </w:r>
    </w:p>
    <w:p>
      <w:r>
        <w:t>Die Beschwerdeführerin nimmt das Bundesgericht vorliegend nicht in ihrem amtlichen Wirkungskreis, sondern im eigenen Vermögensinteresse in Anspruch. Sie wird bei diesem Ausgang des Verfahrens daher kostenpflichtig ( Art. 66 Abs. 1 und Abs. 4 BGG ).</w:t>
      </w:r>
    </w:p>
    <w:p>
      <w:r>
        <w:t>Die Beschwerdegegnerin hat auf Vernehmlassung verzichtet, weshalb ihr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