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32/2008 vom 20. Mai 2008</w:t>
      </w:r>
    </w:p>
    <w:p>
      <w:r>
        <w:t>Bundesgericht, 2008-05-20, FR</w:t>
      </w:r>
    </w:p>
    <w:p>
      <w:r>
        <w:rPr>
          <w:b/>
        </w:rPr>
        <w:t xml:space="preserve">Quelle: </w:t>
      </w:r>
      <w:r>
        <w:t>https://mcp.opencaselaw.ch/entscheid/bger_4A_32_2008</w:t>
      </w:r>
    </w:p>
    <w:p>
      <w:r>
        <w:t>FR: TF 4A 32/2008 du 20 mai 2008</w:t>
      </w:r>
    </w:p>
    <w:p>
      <w:r>
        <w:t>IT: TF 4A 32/2008 del 20 maggio 2008</w:t>
      </w:r>
    </w:p>
    <w:p>
      <w:pPr>
        <w:pStyle w:val="Heading2"/>
      </w:pPr>
      <w:r>
        <w:t>Regeste</w:t>
      </w:r>
    </w:p>
    <w:p>
      <w:r>
        <w:t>contrat de travail; licenciement immédiat | Droit des contrats</w:t>
      </w:r>
    </w:p>
    <w:p>
      <w:pPr>
        <w:pStyle w:val="Heading2"/>
      </w:pPr>
      <w:r>
        <w:t>Erwägungen</w:t>
      </w:r>
    </w:p>
    <w:p>
      <w:r>
        <w:rPr>
          <w:b/>
        </w:rPr>
        <w:t>E. 1.1</w:t>
      </w:r>
    </w:p>
    <w:p>
      <w:r>
        <w:t>Interjeté par la partie défenderesse qui a partiellement succombé dans ses conclusions tant libératoires que reconventionnelles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 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1.2</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La recourante prétend que c'est en violation de l' art. 337 CO que l'autorité cantonale a jugé injustifié le licenciement immédiat du demandeur. Elle fait valoir qu'aucune des accusations portées à l'encontre de A.________ n'a trouvé grâce devant la Chambre d'accusation, que l'intimé n'a pas pu croire de bonne foi qu'une infraction avait été commise contre son patrimoine et qu'il a opté de façon inconsidérée pour la voie pénale, lors même que seule la voie civile était à même de garantir ses droits. Elle soutient que la plainte pénale en cause était tout à la fois calomnieuse et téméraire et que, conséquemment, la condition de juste motif au sens de la norme susrappelée était réalisée, à telle enseigne que l'intimé pouvait être licencié abruptement. La recourante s'en prend également à la motivation subsidiaire de la Cour d'appel. Elle affirme que cette autorité a mené des investigations sur une question qui ne lui avait pas été soumise par l'arrêt de renvoi du Tribunal fédéral rendu le 27 juin 2007, à savoir sur la persistance du lien de confiance entre parties en dépit du dépôt par le demandeur d'une plainte pénale contre son supérieur hiérarchique. La défenderesse y voit une violation du pouvoir de cognition limité qui revenait à la cour cantonale après la reddition de l'arrêt de renvoi susrappelé.</w:t>
      </w:r>
    </w:p>
    <w:p>
      <w:r>
        <w:rPr>
          <w:b/>
        </w:rPr>
        <w:t>E. 3.1</w:t>
      </w:r>
    </w:p>
    <w:p>
      <w:r>
        <w:t>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généralement la violation d'une obligation découlant du contrat de travail, comme l'obligation de loyauté ou de discrétion ou celle d'offrir sa prestation de travail. Mais d'autres faits peuvent aussi justifier un congé abrupt ( ATF 129 III 380 consid. 2.2 p. 382 s.). A raison de son obligation de fidélité, le travailleur est tenu de sauvegarder les intérêts légitimes de son employeur ( art. 321a al. 1 CO ) et, par conséquent, de s'abstenir de tout ce qui peut lui nuire ( ATF 117 II 560 consid. 3a p. 561). Cette obligation accessoire générale vaut dans une mesure accrue pour les cadres, eu égard au crédit particulier et à la responsabilité que leur confère leur fonction dans l'entreprise de l'employeur ( ATF 104 II 28 ; Adrian Staehelin, Commentaire zurichois, n. 8 ad art. 321a CO ; Wolfgang Portmann, Commentaire bâlois, n. 14 ad art. 321a CO ). Le juge apprécie librement s'il existe de justes motifs (art. 337 al. 3 in initio CO).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213 consid. 3.1 p. 220; 129 III 380 consid. 2 p. 382).</w:t>
      </w:r>
    </w:p>
    <w:p>
      <w:r>
        <w:rPr>
          <w:b/>
        </w:rPr>
        <w:t>E. 3.2</w:t>
      </w:r>
    </w:p>
    <w:p>
      <w:r>
        <w:t>S'agissant de la motivation subsidiaire adoptée par la cour cantonale, la recourante fait grief à la Cour d'appel d'avoir outrepassé le cadre de l'arrêt de renvoi du Tribunal fédéral (cause 4A_15/2007) en menant des investigations sur le point de savoir si les rapports de travail avaient en partie perduré après la résiliation du contrat du demandeur avec effet immédiat. A bon droit. En effet, selon la jurisprudence rendue sous l'ancienne loi fédérale d'organisation judiciaire, laquelle est transposable sous l'empire de la LTF (cf arrêt 4A_71/2007 du 19 octobre 2007, consid. 2.2), le juge auquel la cause est retournée voit sa cognition limitée par les motifs de l'arrêt de renvoi, ce qui signifie qu'il est lié par ce qui a été tranché définitivement par le Tribunal fédéral ainsi que par les constatations de fait qui n'ont pas été attaquées devant lui. Des faits nouveaux ne peuvent être pris en compte à moins de porter sur les points qui ont fait l'objet du renvoi. Ceux-ci ne peuvent être ni étendus ni fixés sur une base juridique nouvelle ( ATF 133 III 201 consid. 4; 131 III 91 consid. 5.2 et les arrêts cités). Dans l'arrêt de renvoi 4A_15/2007, le Tribunal fédéral a retourné l'affaire à la Cour d'appel uniquement pour qu'elle élucide les faits permettant de vérifier si l'accusation proférée contre A.________ était au moins partiellement fondée ou, dans la négative, si l'auteur de la plainte (i.e. le demandeur) avait pu croire de bonne foi qu'une infraction avait été commise contre lui. Or, l'autorité cantonale a mené des investigations sur une question entièrement nouvelle, qui n'avait pas été abordée précédemment, soit celle de savoir si la défenderesse, en laissant le demandeur organiser et participer à un cocktail quelques jours après la signification du licenciement abrupt, a donné à penser que la continuation des rapports de travail était possible jusqu'à la fin du délai de congé. Il suit de là que la cour cantonale, en retenant la motivation subsidiaire en cause, ne s'est pas conformée aux réquisits de l'arrêt de renvoi du Tribunal fédéral. Partant, il ne sera pas tenu compte de celle-ci, qui repose sur des faits nouveaux au sens de la jurisprudence précitée.</w:t>
      </w:r>
    </w:p>
    <w:p>
      <w:r>
        <w:rPr>
          <w:b/>
        </w:rPr>
        <w:t>E. 3.3</w:t>
      </w:r>
    </w:p>
    <w:p>
      <w:r>
        <w:t>Cela posé, il sied de vérifier si la motivation principale de la cour cantonale, d'après laquelle la plainte formée par le demandeur contre A.________ n'était pas téméraire ou contraire à la bonne foi, est conforme au droit fédéral.</w:t>
      </w:r>
    </w:p>
    <w:p>
      <w:r>
        <w:rPr>
          <w:b/>
        </w:rPr>
        <w:t>E. 3.3.1</w:t>
      </w:r>
    </w:p>
    <w:p>
      <w:r>
        <w:t>Il a été retenu définitivement ( art. 105 al. 1 LTF ) que A.________, actionnaire majoritaire et directeur général de la défenderesse, Z.________, alors directeur de celle-ci, ainsi que l'intimé, qui en était directeur commercial, ont formé une société simple pour acquérir et vendre cinq avions. L'opération, qui était financée par deux sociétés « off shore », a été réalisée par X.________ SA. Il était prévu que cette dernière devait recevoir la moitié du bénéfice tiré de l'affaire, la seconde moitié devant être répartie entre les trois associés précités. On ne sait rien du quantum du profit qui a été obtenu à cette occasion. Le demandeur a estimé que A.________, qui aurait sans cesse cherché à repousser la répartition du bénéfice, avait retenu par un stratagème 2'500'000 US$ des gains réalisés et encore détourné de ceux-ci, par une autre machination, le montant total de 1'510'000 US$, d'où un prélèvement illicite de plus de 4'000'000 US$. Le 31 octobre 2003, sans avoir pris langue avec A.________, le demandeur a formé une plainte pénale contre le prénommé pour escroquerie, abus de confiance et gestion déloyale. Après une enquête qui a duré plus de trois ans, le Juge d'instruction a transmis la procédure au Parquet genevois le 29 mars 2007, sans avoir prononcé d'inculpation. Le 29 juin 2007, le Procureur général a classé la procédure, car aucun des éléments constitutifs des trois infractions reprochées à A.________ n'étaient établis, le litige présentant du reste un caractère civil prépondérant. Sur recours du demandeur, la Chambre d'accusation a confirmé le classement par adoption de motifs.</w:t>
      </w:r>
    </w:p>
    <w:p>
      <w:r>
        <w:rPr>
          <w:b/>
        </w:rPr>
        <w:t>E. 3.3.2</w:t>
      </w:r>
    </w:p>
    <w:p>
      <w:r>
        <w:t>Ces éléments conduisent la juridiction fédérale à développer le raisonnement suivant. Il appert tout d'abord que l'intimé a formé une plainte pénale contre son supérieur hiérarchique direct A.________, cela sans même essayer de le rencontrer au préalable afin de discuter de la manière dont avaient été répartis les gains importants générés par une opération à caractère complexe au regard de son mode de financement et des différents acteurs qui y ont participé. Il n'a ainsi pas été établi que A.________ n'ait pas pu être joint à la fin du mois d'octobre 2003, ni qu'il se soit dérobé aux demandes d'explications du demandeur, et encore moins qu'il se soit refusé à accorder tout entretien sur la question à l'intéressé. Le demandeur a déposé plainte pour des délits graves concernant la probité du directeur général et principal actionnaire de la défenderesse. Ainsi l'abus de confiance ( art. 138 CP ) et l'escroquerie ( art. 146 CP ) sont-ils des crimes ( art. 10 al. 2 CP et 9 al. 1 aCP). Il en est résulté une longue instruction pénale, qui était susceptible d'entacher durablement l'honorabilité et la réputation en affaires de A.________. Pourtant, aucune des trois accusations formulées n'a été suivie d'une inculpation et la procédure a finalement été classée par le Parquet. La décision de classement a par la suite été confirmée sur recours par la Chambre d'accusation. Les motifs présentés par la Cour d'appel pour démontrer néanmoins que le demandeur n'a pas déposé plainte notamment de manière téméraire ne résistent pas à l'examen. Il n'est tout d'abord pas possible de soutenir, ainsi qu'elle l'a fait, que la retenue de 2'500'000 US$ effectuée par une des sociétés « off shore » sur les bénéfices revenant à la recourante pouvait apparaître aux yeux de l'intimé comme une soustraction indue des gains qu'il devait retirer lui-même de l'affaire. Il ne ressort en effet pas de l'état de fait déterminant ( art. 105 al. 1 LTF ) que l'intimé avait des motifs réels ou supposés de penser que cette retenue affectait de manière illicite la part des gains qui lui était dévolue. Ce dernier n'a d'ailleurs même pas fait état de la clé de répartition interne des bénéfices qui avait été adoptée entre les trois associés. En outre, la circonstance - parfaitement banale au vu de la position et du rôle joués par A.________ au sein de la recourante dont il détient la majorité du capital-actions - qu'avait été conféré au précité un droit de signature sur le compte bancaire de la défenderesse par lequel le demandeur présumait que transiteraient les gains de l'opération, n'était nullement susceptible d'éveiller en tant que telle chez ce dernier le soupçon qu'une grave infraction pouvait être perpétrée à son détriment. Enfin, il est sans aucune pertinence que la Chambre d'accusation n'ait pas qualifié de téméraire le recours du demandeur exercé contre le classement du Parquet. Seule importe la question de savoir si la plainte pénale, au moment où elle a été déposée, devait être considérée comme un acte téméraire. Il suit de là que, pourtant revêtu du statut de cadre qui confère à son titulaire une obligation accrue de sauvegarder les intérêts légitimes de son employeur (cf. consid. 3.1 ci-dessus), le demandeur n'a pas hésité à s'engager sur la voie pénale en portant plainte contre celui qui en est le principal actionnaire, sans avoir des motifs objectifs de le faire et sans avoir ne serait-ce que tenté préalablement d'éclaircir la situation peu claire née de rapports compliqués de droit civil noués entre les trois associés, la recourante et deux sociétés « off shore ». L'intimé n'a au demeurant apparemment pas usé de la voie civile contre A.________ pour obtenir de celui-ci restitution des gains qu'il se serait prétendument appropriés sans droit. Dans un pareil contexte, la plainte pénale que l'intimé a déposée contre A.________ le 31 octobre 2003 était téméraire. A défaut d'avoir pris en compte l'ensemble de ces paramètres, qui étaient décisifs pour l'appréciation du litige restant à juger, l'autorité cantonale a fait une application erronée de la notion de juste motif ancrée à l' art. 337 CO . Le moyen est bien fondé, si bien que le recours doit être admis, l'arrêt attaqué doit être annulé et il sera prononcé que le licenciement immédiat signifié à l'intimé le 5 novembre 2003 était justifié.</w:t>
      </w:r>
    </w:p>
    <w:p>
      <w:r>
        <w:rPr>
          <w:b/>
        </w:rPr>
        <w:t>E. 4</w:t>
      </w:r>
    </w:p>
    <w:p>
      <w:r>
        <w:t>L'intimé, qui succombe, paiera les frais judiciaires ( art. 66 al. 1 LTF ) et versera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