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4A_329/2008 vom 11. November 2008</w:t>
      </w:r>
    </w:p>
    <w:p>
      <w:r>
        <w:t>Bundesgericht, 2008-11-11, FR</w:t>
      </w:r>
    </w:p>
    <w:p>
      <w:r>
        <w:rPr>
          <w:b/>
        </w:rPr>
        <w:t xml:space="preserve">Quelle: </w:t>
      </w:r>
      <w:r>
        <w:t>https://mcp.opencaselaw.ch/entscheid/bger_4A_329_2008</w:t>
      </w:r>
    </w:p>
    <w:p>
      <w:r>
        <w:t>FR: TF 4A_329/2008 du 11 novembre 2008</w:t>
      </w:r>
    </w:p>
    <w:p>
      <w:r>
        <w:t>IT: TF 4A_329/2008 del 11 novembre 2008</w:t>
      </w:r>
    </w:p>
    <w:p>
      <w:pPr>
        <w:pStyle w:val="Heading2"/>
      </w:pPr>
      <w:r>
        <w:t>Erwägungen</w:t>
      </w:r>
    </w:p>
    <w:p>
      <w:r>
        <w:rPr>
          <w:b/>
        </w:rPr>
        <w:t>E. 1</w:t>
      </w:r>
    </w:p>
    <w:p>
      <w:r>
        <w:t>Le Tribunal fédéral examine d'office et librement la recevabilité des recours qui lui sont soumis ( ATF 134 III 235 consid. 1).</w:t>
      </w:r>
    </w:p>
    <w:p>
      <w:r>
        <w:t>En l'espèce, les autorités cantonales, se penchant sur la question de leur compétence préalablement à l'examen du fond, se sont déclarées incompétentes à raison de la matière pour connaître des conclusions prises par le recourant. A cet égard, elles ont appliqué - explicitement pour ce qui est du Tribunal et implicitement pour ce qui concerne la Cour d'appel - l'art. 1 al. 1 let. a de la loi genevoise sur la juridiction des prud'hommes (juridiction du travail) du 25 février 1999 (LJP/GE; RSG E 3 10), qui prévoit que la juridiction des prud'hommes est compétente pour juger les contestations entre employeurs et salariés pour tout ce qui concerne leurs rapports découlant d'un contrat de travail, au sens du titre dixième du code des obligations.</w:t>
      </w:r>
    </w:p>
    <w:p>
      <w:r>
        <w:t>Or, si le droit cantonal, dans un domaine de son ressort exclusif - étant précisé que l'organisation judiciaire, la procédure et l'administration de la justice en matière de droit civil sont du ressort des cantons ( art. 122 al. 2 Cst. ) -, déclare applicable une règle du droit fédéral, utilise une notion de droit fédéral ou pose une question préalable de droit fédéral, cela n'a pas pour effet de transformer la question de droit cantonal en une question de droit fédéral; lorsque la question principale relève du droit cantonal, les questions préalables qu'il pose et les notions auxquelles il se réfère sont également considérées comme relevant du droit cantonal (cf. ATF 128 III 76 consid. 1a p. 80). Que le droit cantonal utilise la notion de "contrat de travail" n'enlève donc rien au fait que la compétence de la juridiction des prud'hommes du canton de Genève est une question de pur droit cantonal.</w:t>
      </w:r>
    </w:p>
    <w:p>
      <w:r>
        <w:t>Cela étant, le recours en matière civile ne peut pas être formé pour violation du droit cantonal en tant que tel (cf. art. 95 et 96 LTF ). Il est en revanche possible de faire valoir que la mauvaise application du droit cantonal constitue une violation du droit fédéral, en particulier qu'elle est arbitraire au sens de l' art. 9 Cst. ou contraire à d'autres droits constitutionnels ( ATF 134 III 379 consid. 1.2 p. 382 s.). Le recourant n'a toutefois pas invoqué l'interdiction de l'arbitraire, ni aucun autre droit constitutionnel. Or, le Tribunal fédéral n'examine la violation de droits fondamentaux que si ce grief a été invoqué et motivé par le recourant ( art. 106 al. 2 LTF ). La Cour de céans n'a donc pas à entrer en matière sur cette question. Le recours, qui porte en réalité sur une prétendue violation du droit cantonal, est donc irrecevable.</w:t>
      </w:r>
    </w:p>
    <w:p>
      <w:r>
        <w:rPr>
          <w:b/>
        </w:rPr>
        <w:t>E. 2</w:t>
      </w:r>
    </w:p>
    <w:p>
      <w:r>
        <w:t>Compte tenu de l'issue du litige, les frais judiciaires sont mis à la charge du recourant, qui succombe ( art. 66 al. 1 LTF ). Celui-ci doit en outre payer des dépens à l'intimée, alors même qu'elle n'a pas pris de conclusions en ce sens, puisque les dépens sont alloués d'office à toute partie en droit de les recevoir (cf. art. 68 al. 1 LTF ; ATF 111 Ia 154 consid. 4 et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