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328/2016 vom 10. November 2016</w:t>
      </w:r>
    </w:p>
    <w:p>
      <w:r>
        <w:t>Bundesgericht, 2016-11-10, FR</w:t>
      </w:r>
    </w:p>
    <w:p>
      <w:r>
        <w:rPr>
          <w:b/>
        </w:rPr>
        <w:t xml:space="preserve">Quelle: </w:t>
      </w:r>
      <w:r>
        <w:t>https://mcp.opencaselaw.ch/entscheid/bger_4A_328_2016</w:t>
      </w:r>
    </w:p>
    <w:p>
      <w:r>
        <w:t>FR: TF 4A 328/2016 du 10 novembre 2016</w:t>
      </w:r>
    </w:p>
    <w:p>
      <w:r>
        <w:t>IT: TF 4A 328/2016 del 10 novembre 2016</w:t>
      </w:r>
    </w:p>
    <w:p>
      <w:pPr>
        <w:pStyle w:val="Heading2"/>
      </w:pPr>
      <w:r>
        <w:t>Regeste</w:t>
      </w:r>
    </w:p>
    <w:p>
      <w:r>
        <w:t>assistance judiciaire | Droit des contrats</w:t>
      </w:r>
    </w:p>
    <w:p>
      <w:pPr>
        <w:pStyle w:val="Heading2"/>
      </w:pPr>
      <w:r>
        <w:t>Erwägungen</w:t>
      </w:r>
    </w:p>
    <w:p>
      <w:r>
        <w:rPr>
          <w:b/>
        </w:rPr>
        <w:t>E. 1</w:t>
      </w:r>
    </w:p>
    <w:p>
      <w:r>
        <w:t>Le refus d'accorder l'assistance judiciaire est une décision incidente susceptible de causer un préjudice irréparable, et donc sujette à un recours immédiat ( art. 93 al. 1 let. a LTF ; arrêts 4A_665/2015 du 21 avril 2016 consid. 1; 4A_572/2013 du 11 février 2014 consid. 1; cf. ATF 133 IV 335 consid. 4 p. 338; 126 I 207 consid. 2a). La voie de droit contre une telle décision est déterminée par le litige principal. En l'occurrence, l'incident s'inscrit dans une cause pécuniaire qui ressortit au droit du travail et dont la valeur litigieuse excède manifestement le seuil légal de 15'000 fr. ( art. 74 al. 1 let. a LTF en lien avec l' art. 51 al. 1 let . c LTF; cf. JEAN-MAURICE FRÉSARD, in Commentaire de la LTF, 2 e éd. 2014, n° 31 ad art. 51 LTF ). Les autres conditions de recevabilité du recours en matière civile sont également réalisées sur le principe.</w:t>
      </w:r>
    </w:p>
    <w:p>
      <w:r>
        <w:rPr>
          <w:b/>
        </w:rPr>
        <w:t>E. 2.1</w:t>
      </w:r>
    </w:p>
    <w:p>
      <w:r>
        <w:t>La recourante dénonce tout d'abord une violation de l' art. 29 al. 2 Cst. , plus précisément de son droit d'obtenir une décision motivée. Elle reproche à l'autorité précédente de ne pas avoir répondu à son grief principal, qu'elle a formulé tant dans son appel contre le jugement prud'homal que dans son recours contre le refus d'assistance judiciaire. Elle précise avoir cité une jurisprudence du Tribunal fédéral ( ATF 123 III 292 ) dont il ressortirait que le contrat usuraire au sens de l' art. 157 CP est au moins entaché de nullité partielle lorsqu'il viole simultanément une norme prohibitive limitant l'objet du contrat, telle qu'une règle de droit public imposant un salaire minimum impératif.</w:t>
      </w:r>
    </w:p>
    <w:p>
      <w:r>
        <w:rPr>
          <w:b/>
        </w:rPr>
        <w:t>E. 2.2</w:t>
      </w:r>
    </w:p>
    <w:p>
      <w:r>
        <w:t>Comme le rappelle la recourante elle-même, le droit d'obtenir une décision motivée n'implique pas que le juge discute en détail tous les arguments soulevés par les parties, ni qu'il réfute expressément chacun d'eux; il peut se limiter à l'examen des questions décisives pour l'issue du litige ( ATF 138 I 232 consid. 5.1; 134 I 83 consid. 4.1).</w:t>
      </w:r>
    </w:p>
    <w:p>
      <w:r>
        <w:rPr>
          <w:b/>
        </w:rPr>
        <w:t>E. 2.3</w:t>
      </w:r>
    </w:p>
    <w:p>
      <w:r>
        <w:t>La lecture des motifs de la décision attaquée (consid. 2.3), éclairés par un exposé théorique circonstancié (cf. notamment consid. 2.2.3), enseigne que pour l'autorité précédente, les conséquences civiles de l'infraction d'usure ( art. 157 CP ) relèvent de l' art. 21 CO (lésion), lequel n'entre pas en considération dès lors que le délai d'invalidation a été largement dépassé. Pour le surplus, l'autorité précédente - comme le Vice-président du Tribunal civil - a exclu la nullité parce que la renonciation aux créances litigieuses était intervenue au-delà de la période de protection de l' art. 341 al. 1 CO . Ces explications sont suffisantes sous l'angle du devoir de motiver. Au demeurant, l' ATF 123 III 292 reconnaît la possibilité d'invalider partiellement une convention prévoyant des prestations disproportionnées ( art. 21 CO ) et, dans ce contexte, prend l'exemple d'une convention qui serait aussi partiellement nulle parce qu'elle violerait des règles impératives instaurant un prix ou un intérêt maximal (consid. 2e/bb p. 299). Cet arrêt ne traite en revanche pas de la renonciation à des créances existantes qui intervient après la période de protection de l' art. 341 CO (cf. infra consid. 3.4.2).</w:t>
      </w:r>
    </w:p>
    <w:p>
      <w:r>
        <w:rPr>
          <w:b/>
        </w:rPr>
        <w:t>E. 3</w:t>
      </w:r>
    </w:p>
    <w:p>
      <w:r>
        <w:t>La recourante se plaint ensuite d'une violation de l' art. 117 CPC .</w:t>
      </w:r>
    </w:p>
    <w:p>
      <w:r>
        <w:rPr>
          <w:b/>
        </w:rPr>
        <w:t>E. 3.1</w:t>
      </w:r>
    </w:p>
    <w:p>
      <w:r>
        <w:t>En vertu de l' art. 117 CPC , l'octroi de l'assistance judiciaire suppose que le justiciable ne dispose pas de ressources suffisantes (let. a) et que sa cause ne paraisse pas dépourvue de toute chance de succès (let. b). Selon la jurisprudence, un procès est dépourvu de chances de succès lorsque la perspective de le gagner est notablement plus faible que le risque de le perdre, de sorte qu'elle ne peut guère être qualifiée de sérieuse. La condition de l' art. 117 let. b CPC est en revanche réalisée lorsque les chances de succès et les risques d'échec s'équilibrent à peu près, ou que les premières ne sont que légèrement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138 III 217 consid. 2.2.4; 133 III 614 consid. 5; 129 I 129 consid. 2.3.1).</w:t>
      </w:r>
    </w:p>
    <w:p>
      <w:r>
        <w:rPr>
          <w:b/>
        </w:rPr>
        <w:t>E. 3.2</w:t>
      </w:r>
    </w:p>
    <w:p>
      <w:r>
        <w:t>A l'instar du premier juge, le Vice-président de la Cour de justice a refusé l'assistance judiciaire parce que l'appel lui paraît dépourvu de chances de succès. La motivation fournie à l'appui de cette décision est en substance la suivante: l' art. 341 CO prescrit que pendant la durée du contrat de travail et le mois qui suit la fin de celui-ci, le travailleur ne peut pas renoncer aux créances résultant de dispositions impératives de la loi. L'autorité précédente en déduit que passé ce délai, le travailleur est libre de renoncer à de telles créances, sous réserve d'un vice de la volonté ou d'un abus de droit. En l'espèce, les accords litigieux ont été signés en décembre 2010, soit près de dix mois après la fin des rapports de travail; selon toute vraisemblance, l'employée pouvait valablement renoncer aux créances résultant de dispositions impératives de la loi, en particulier celles visées par l' art. 342 al. 2 CO (obligations de droit public que l'autre partie peut invoquer devant le juge civil). L'invalidation des accords pour cause de lésion au sens de l' art. 21 CO ne semble pas possible car elle doit être requise dans le délai d'un an dès la conclusion du contrat, délai qui est largement dépassé. Enfin, conclut l'autorité précédente, il paraît peu probable que l'abus de droit puisse être retenu contre l'employeuse à l'instar de l'arrêt 4A_292/2012; dans le cas présent, l'employée était représentée par un syndicat au moment de signer les actes litigieux, ce qui semble exclure une position d'infériorité.</w:t>
      </w:r>
    </w:p>
    <w:p>
      <w:r>
        <w:rPr>
          <w:b/>
        </w:rPr>
        <w:t>E. 3.3</w:t>
      </w:r>
    </w:p>
    <w:p>
      <w:r>
        <w:t>La recourante ne conteste pas l'écoulement du délai imparti par l' art. 21 CO pour invalider le contrat. Elle invoque la nullité des accords signés en décembre 2010.</w:t>
      </w:r>
    </w:p>
    <w:p>
      <w:r>
        <w:rPr>
          <w:b/>
        </w:rPr>
        <w:t>E. 3.4.1</w:t>
      </w:r>
    </w:p>
    <w:p>
      <w:r>
        <w:t>Selon l' art. 20 al. 1 CO , le contrat est nul s'il a pour objet une chose impossible, illicite ou contraire aux moeurs. Un contrat est illicite lorsque son objet, sa conclusion même ou le but qu'il poursuit contrevient à une norme impérative du droit privé ou public suisse. La nullité doit être expressément prévue par la norme enfreinte ou découler de son sens et de son but ( ATF 134 III 438 consid. 2.2; 134 III 52 consid. 1.1).</w:t>
      </w:r>
    </w:p>
    <w:p>
      <w:r>
        <w:rPr>
          <w:b/>
        </w:rPr>
        <w:t>E. 3.4.2</w:t>
      </w:r>
    </w:p>
    <w:p>
      <w:r>
        <w:t>En droit du travail, les art. 361 al. 2 et 362 al. 2 CO prévoient la nullité des clauses contractuelles qui dérogent aux dispositions impératives, dont le législateur donne une énumération non exhaustive aux art. 361 al. 1 et 362 al. 1 CO. En principe, le droit impératif s'applique directement en lieu et place de ces clauses (cf. art. 357 al. 2 CO à propos des clauses impératives des conventions collectives; URS HOFMANN, Verzicht und Vergleich im Arbeitsrecht, 1985, p. 60). Est ainsi garantie la naissance de divers droits subjectifs, que les parties ne peuvent pas empêcher en convenant d'une autre réglementation. Il s'agit là d'une première restriction à la liberté contractuelle. Savoir si les parties peuvent renoncer à une créance née en vertu d'une disposition impérative est une question distincte qui, si elle reçoit une réponse négative, entraîne une restriction supplémentaire à la liberté contractuelle (HOFMANN, op. cit., p. 80 s.; cf. aussi REHBINDER/STÖCKLI, Berner Kommentar, 2014, n° 1 ad art. 341 CO ). L' art. 341 al. 1 CO interdit au travailleur, pendant la durée du contrat de travail et durant le mois consécutif à son achèvement, de renoncer aux créances résultant de dispositions impératives de la loi ou d'une convention collective. Ce faisant, le législateur tient compte du lien de dépendance dans lequel se trouve le travailleur, qui est généralement la partie économiquement la plus faible; cette dépendance peut persister quelque temps après la fin du contrat, d'où le délai d'un mois supplémentaire (cf. ATF 105 II 39 consid. 1a p. 41; cf. entre autres STREIFF/VON KAENEL/RUDOLPH, Arbeitsvertrag, 7 e éd. 2012, p. 1288 n° 3 ad art. 341 CO ).</w:t>
      </w:r>
    </w:p>
    <w:p>
      <w:r>
        <w:rPr>
          <w:b/>
        </w:rPr>
        <w:t>E. 3.4.3</w:t>
      </w:r>
    </w:p>
    <w:p>
      <w:r>
        <w:t>L' art. 341 CO restreint donc la liberté contractuelle des parties en posant une interdiction temporaire de renoncer aux créances découlant des règles impératives du droit du travail. Il n'en demeure pas moins que la convention de renonciation passée au-delà des limites temporelles de l' art. 341 CO reste soumise à la règle générale de l' art. 20 CO . Se pose ainsi la question de savoir si certaines règles impératives, en raison de leur sens et de leur but, excluent toute possibilité de renonciation, de façon illimitée dans le temps.</w:t>
      </w:r>
    </w:p>
    <w:p>
      <w:r>
        <w:rPr>
          <w:b/>
        </w:rPr>
        <w:t>E. 3.5</w:t>
      </w:r>
    </w:p>
    <w:p>
      <w:r>
        <w:t>L'autorité précédente, à l'instar du premier juge, a adopté la prémisse que la nullité n'entrait pas en considération comme la renonciation était intervenue au-delà de la période de protection conférée par l' art. 341 al. 1 CO . En réalité, les juges genevois ne sauraient s'épargner d'examiner de façon approfondie la question d'une nullité fondée sur la clause générale de l' art. 20 CO , en intégrant les particularités du cas concret. En effet, selon la jurisprudence, l'employeur qui signe le formulaire de "déclaration de garantie" établi par le Département fédéral des affaires étrangères et contribue ainsi à ce que le travailleur étranger obtienne une carte de légitimation contracte en principe une obligation de droit public envers les autorités suisses: il prend en effet l'engagement de respecter les règles impératives du droit suisse du travail, ce qui vise non seulement à protéger le travailleur étranger, mais aussi à préserver les travailleurs suisses d'une sous-enchère salariale induite par la main-d'oeuvre étrangère (cf. ATF 138 III 750 consid. 2.4 et 2.5; 135 III 162 consid. 3.2.2). A cela s'ajoute que l'autorité précédente n'a envisagé l'abus de droit que sous un angle restrictif, en excluant une position d'infériorité de l'employée pour le seul motif qu'elle était assistée d'un syndicat. En bref, l'autorité précédente a violé l' art. 117 let. b CPC en jugeant que l'appel est dépourvu de toute chance de succès, alors qu'il implique d'examiner de façon circonstanciée la question d'une nullité des conventions de décembre 2010, et le cas échéant celle d'un abus de droit de la part de l'employeuse.</w:t>
      </w:r>
    </w:p>
    <w:p>
      <w:r>
        <w:rPr>
          <w:b/>
        </w:rPr>
        <w:t>E. 4</w:t>
      </w:r>
    </w:p>
    <w:p>
      <w:r>
        <w:t>Au vu de ce qui précède, le recours doit être admis et la décision attaquée annulée, la cause étant renvoyée à l'autorité précédente pour qu'elle rende une nouvelle décision. Il n'y a pas matière à percevoir un émolument judiciaire, vu l'art. 66 al. 4in fine LTF. En revanche, le canton de Genève doit des dépens pour le travail effectué par l'avocat de la recourante, lesquels sont fixés à 2'000 fr., conformément au Règlement sur les dépens (RS 173.110.210.3; cf. art. 8 al. 2). Ce montant sera versé directement à l'avocat d'office (arrêt 4A_248/2015 du 15 janvier 2016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