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328/2011 vom 26. September 2011</w:t>
      </w:r>
    </w:p>
    <w:p>
      <w:r>
        <w:t>Bundesgericht, 2011-09-26, FR</w:t>
      </w:r>
    </w:p>
    <w:p>
      <w:r>
        <w:rPr>
          <w:b/>
        </w:rPr>
        <w:t xml:space="preserve">Quelle: </w:t>
      </w:r>
      <w:r>
        <w:t>https://mcp.opencaselaw.ch/entscheid/bger_4A_328_2011</w:t>
      </w:r>
    </w:p>
    <w:p>
      <w:r>
        <w:t>FR: TF 4A 328/2011 du 26 septembre 2011</w:t>
      </w:r>
    </w:p>
    <w:p>
      <w:r>
        <w:t>IT: TF 4A 328/2011 del 26 settembre 2011</w:t>
      </w:r>
    </w:p>
    <w:p>
      <w:pPr>
        <w:pStyle w:val="Heading2"/>
      </w:pPr>
      <w:r>
        <w:t>Regeste</w:t>
      </w:r>
    </w:p>
    <w:p>
      <w:r>
        <w:t>légitimation passive de la société-mère | Droit des contrats</w:t>
      </w:r>
    </w:p>
    <w:p>
      <w:pPr>
        <w:pStyle w:val="Heading2"/>
      </w:pPr>
      <w:r>
        <w:t>Erwägungen</w:t>
      </w:r>
    </w:p>
    <w:p>
      <w:r>
        <w:rPr>
          <w:b/>
        </w:rPr>
        <w:t>E. 1.1</w:t>
      </w:r>
    </w:p>
    <w:p>
      <w:r>
        <w:t>Le recours est dirigé contre une décision mettant hors de cause l'un des deux consorts sans terminer le procès contre l'autre, soit une décision partielle au sens de l' art. 91 let. b LTF (arrêt 4A_472/2010 du 26 novembre 2010 consid. 1.3; sous l'ancienne OJ, ATF 127 I 92 consid. 1a). Formé par la partie qui a succombé dans ses conclusions prises devant l'autorité précédente ( art. 76 al. 1 LTF ), le recours a pour objet une décision rendue en matière civile ( art. 72 al. 1 LTF ) par un tribunal supérieur de dernière instance cantonale ( art. 75 LTF ) dans une affaire pécuniaire dont la valeur litigieuse excède manifestement le seuil de 30'000 fr. ( art. 74 al. 1 let. b LTF ). Déposé pour le surplus dans le délai (art. 100 al. 1 en relation avec l' art. 46 al. 1 let. a LTF ) et la forme prévus par la loi ( art. 42 LTF ), le présent recours est recevable sur le principe.</w:t>
      </w:r>
    </w:p>
    <w:p>
      <w:r>
        <w:rPr>
          <w:b/>
        </w:rPr>
        <w:t>E. 1.2</w:t>
      </w:r>
    </w:p>
    <w:p>
      <w:r>
        <w:t>Le recours en matière civile peut être formé pour violation du droit fédéral ( art. 95 let. a LTF ), notion qui inclut le droit constitutionnel ( ATF 136 II 304 consid. 2.4 p. 313). Le Tribunal fédéral revoit librement l'application du droit fédéral (cf. art. 106 al. 1 LTF ). Par ailleurs, il conduit son raisonnement juridique sur la base des faits établis par l'autorité précédente ( art. 105 al. 1 LTF ) et ne s'écarte des constatations de l'autorité cantonale que si elles ont été établies de façon manifestement inexacte - notion qui équivaut à celle d'arbitraire ( ATF 137 I 58 consid. 4.1.2) - ou en violation du droit au sens de l' art. 95 LTF ( art. 105 al. 2 LTF ). La correction du vice doit être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qui diverge de celui contenu dans l'acte attaqué ( ATF 136 I 184 consid. 1.2; 133 II 249 consid. 1.4.3).</w:t>
      </w:r>
    </w:p>
    <w:p>
      <w:r>
        <w:rPr>
          <w:b/>
        </w:rPr>
        <w:t>E. 2.1</w:t>
      </w:r>
    </w:p>
    <w:p>
      <w:r>
        <w:t>Le recourant reproche à la cour cantonale d'avoir conclu, sur la base d'une appréciation arbitraire des faits, que ses prétentions concernaient Y.C.________ SA et non pas Y.________ SA. Il soutient en substance que la confusion entre la filiale et la société-mère a été constamment entretenue : leurs raisons sociales, buts, sièges et organes étaient identiques ou très similaires. Une raison sociale inexistante a été utilisée, qui était susceptible de désigner l'une ou l'autre société. Les déclarations relatives à la prescription ont été faites tantôt au nom de l'une, tantôt au nom de l'autre entité, voire des deux; la déclaration visant à exclure la responsabilité de "Y.________" laissait aussi accroire que les deux sociétés du groupe étaient concernées. De tels procédés seraient contraires aux règles de la bonne foi et constitutifs d'un abus de droit ( art. 2 CC ).</w:t>
      </w:r>
    </w:p>
    <w:p>
      <w:r>
        <w:rPr>
          <w:b/>
        </w:rPr>
        <w:t>E. 2.2</w:t>
      </w:r>
    </w:p>
    <w:p>
      <w:r>
        <w:t>Dans une argumentation qui mêle des griefs de fait et de droit, le recourant conteste les conclusions juridiques que la cour cantonale a tirées des faits qu'elle avait retenus ou aurait dû retenir. Il sied de commencer par examiner le moyen de droit sur la base de l'état de fait établi par la Cour de justice. L'admission du moyen pourrait en effet priver d'objet les griefs de fait, dont la recevabilité est par ailleurs sujette à caution (supra, consid. 1.2).</w:t>
      </w:r>
    </w:p>
    <w:p>
      <w:r>
        <w:rPr>
          <w:b/>
        </w:rPr>
        <w:t>E. 2.3.1</w:t>
      </w:r>
    </w:p>
    <w:p>
      <w:r>
        <w:t>En principe, les sociétés dominées (ou sociétés-filles) appartenant à un groupe soumis à une direction économique unique peuvent se prévaloir de leur indépendance juridique par rapport à la société dominante (ou société-mère; sur la terminologie, cf. ROLAND VON BÜREN, Der Konzern, Traité de droit privé suisse VIII/6, 2e éd. 2005, p. 5 ss, spéc. p. 15 s.). Toutefois, le voile social peut être levé et l'identité économique avec la société dominante être invoquée (Durchgriff) lorsque le fait d'opposer l'indépendance juridique des deux entités constitue un abus de droit ( art. 2 CC ; cf. ATF 132 III 489 consid. 3.2). Selon la jurisprudence du Tribunal fédéral, il n'y a pas de "Durchgriff" proprement dit lorsque les sphères de la société dominante et de la société dominée se confondent, ou lorsque la responsabilité de la société dominante est déjà engagée en vertu d'un fondement propre, par exemple parce qu'elle déçoit la confiance de tiers ou doit se laisser imputer des déclarations de volonté propres à faire naître une obligation. Dans tous ces cas de figure, ce n'est pas l'indépendance de la personne morale qui est niée, mais bien sa légitimation active ou passive exclusive: la société dominante est légitimée ou obligée non pas à la place de la société dominée, mais à ses côtés (arrêt 4P.330/1994 du 29 janvier 1996 consid. 6a, in Bulletin ASA 1996 496).</w:t>
      </w:r>
    </w:p>
    <w:p>
      <w:r>
        <w:rPr>
          <w:b/>
        </w:rPr>
        <w:t>E. 2.3.2</w:t>
      </w:r>
    </w:p>
    <w:p>
      <w:r>
        <w:t>Selon la doctrine, il existe une confusion des sphères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(NINA SAUERWEIN, La responsabilité de la société mère, 2006, p. 322; KRISTINA KUZMIC, Haftung aus "Konzernvertrauen", 1998, p. 128; ALEXANDER VOGEL, Die Haftung der Muttergesellschaft als materielles, faktisches oder kundgegebenes Organ der Tochtergesellschaft, 1997, p. 228). Divers correctifs sont envisageables. D'aucuns évoquent le Durchgriff, en ce sens qu'il est abusif d'invoquer l'indépendance juridique de deux sociétés alors qu'elles-mêmes n'en tiennent pas compte (SAUERWEIN, op. cit., pp. 320, 322, 330 et 333, à titre d'ultima ratio). Des obligations contractuelles peuvent aussi être imputées à la société-mère en recourant à la figure de la procuration apparente (SAUERWEIN, op. cit., p. 332 s.) ou, plus largement, en vertu de la responsabilité fondée sur l'apparence juridique, où le partenaire contractuel, en vertu du principe de la confiance, doit être protégé dans sa croyance erronée qu'il a conclu le contrat avec la société-mère et non la fille, ou cas échéant avec les deux sociétés (BEAT BRECHBÜHL, Haftung aus erwecktem Konzernvertrauen, 1998, p. 102 s.; VOGEL, op. cit., p. 172 ss, spéc. p. 174 et p. 228 s.).</w:t>
      </w:r>
    </w:p>
    <w:p>
      <w:r>
        <w:rPr>
          <w:b/>
        </w:rPr>
        <w:t>E. 2.4</w:t>
      </w:r>
    </w:p>
    <w:p>
      <w:r>
        <w:t>En l'espèce, le raisonnement tenu par la cour cantonale est en substance le suivant: la filiale de Y.________ SA était identifiable comme la locataire des services du recourant et la personne morale concernée par son accident puisque la dénomination utilisée dans les bulletins de commande et les rapports relatifs à l'accident ne contenait pas le mot "International" caractérisant la société-mère et que par ailleurs, les déclarations de renonciation à la prescription étaient faites soit au nom exact ou abrégé de la filiale, soit sans aucune précision. Le recourant avait lui-même identifié la personne morale impliquée, puisqu'il s'était adressé à la filiale jusqu'en 2007 et avait bien dû constater, avec la réponse donnée à sa demande d'indemnisation en 2008, que la société-mère n'était pas concernée par le litige. Un tel raisonnement repose sur une interprétation juridique erronée des faits retenus dans l'arrêt attaqué. Le groupe Y.________ s'est présenté au bailleur de services ainsi qu'à la police et aux assureurs concernés par l'accident sous le nom de "Y.A.________ SA". A l'époque, la raison sociale exacte de la filiale était "Y.A.________ Société Anonyme", et celle de la société-mère "Y.A.________ International SA". L'abréviation "Y.A.________ SA" pouvait désigner aussi bien la filiale que la société-mère. A cela s'ajoute qu'extérieurement, les deux sociétés présentaient une unité apparente. Outre le caractère très semblable de leur raison sociale inscrite au registre du commerce, elles avaient un siège identique, un but social analogue et des représentants communs. Aucun élément n'indique que dans le cadre de l'exécution de son travail, le recourant ait été à même de distinguer pour quelle entité il travaillait; selon les constatations du Tribunal de première instance, la société-mère n'a du reste pas pu établir que sa filiale était seule concernée par le chantier. Extérieurement, il existait une confusion des sphères de la société-mère et de la filiale. Cette confusion a persisté lorsque le recourant a demandé des déclarations d'interruption de la prescription et émis des prétentions en indemnisation. La première renonciation en 1999 a été faite au nom équivoque de "Y.A.________ SA". En 2002 et 2003, les déclarations ont été signées sans mention de la société, et accompagnées d'un courrier comportant le seul nom préimprimé de la société-mère (papier d'affaires). A tout le moins dans ces deux cas, le destinataire pouvait déduire que la renonciation émanait de la société-mère. A une exception près, les courriers accompagnant les renonciations ont été rédigés sur le papier d'affaires de la société-mère, étant entendu que dans plusieurs cas, ils étaient signés au nom de la filiale. Pris dans leur ensemble, ces éléments donnaient l'apparence d'une confusion des deux entités. En 2008, le recourant a fait parvenir une demande d'indemnisation à la société-mère et a obtenu une réponse de la filiale. Il n'avait pas à déduire de ce fait que la société-mère n'était pas concernée par l'accident, d'autant moins que la filiale déclarait contester la responsabilité de "Y.________", par quoi le recourant était en droit de comprendre "la responsabilité du groupe Y.________". Extérieurement, il existait bel et bien une confusion des sphères, une unité apparente dont le recourant pouvait de bonne foi inférer que la société-mère et la filiale étaient aussi concernées l'une que l'autre par l'accident, pouvaient l'une et l'autre être recherchées en responsabilité. Dans un tel contexte, le recourant, même s'il était assisté d'un conseil, était en droit de déduire qu'il pouvait adresser ses demandes de renonciation à la prescription et d'indemnisation indifféremment à la société-mère ou à la filiale. En considérant que la société-mère Y.________ SA ne disposait pas de la légitimation passive, la cour cantonale a enfreint le droit fédéral.</w:t>
      </w:r>
    </w:p>
    <w:p>
      <w:r>
        <w:rPr>
          <w:b/>
        </w:rPr>
        <w:t>E. 2.5</w:t>
      </w:r>
    </w:p>
    <w:p>
      <w:r>
        <w:t>L'admission du grief prive d'objet les autres moyens de droit et de fait soulevés par le recourant en relation avec la question de la légitimation passive.</w:t>
      </w:r>
    </w:p>
    <w:p>
      <w:r>
        <w:rPr>
          <w:b/>
        </w:rPr>
        <w:t>E. 3</w:t>
      </w:r>
    </w:p>
    <w:p>
      <w:r>
        <w:t>Le recourant conclut au paiement de 263'683 fr. par les deux intimées en qualité de débitrices solidaires. Aucun moyen n'est formulé en relation avec cette conclusion, de sorte qu'elle est irrecevable pour ce motif déjà ( art. 42 al. 2 LTF ).</w:t>
      </w:r>
    </w:p>
    <w:p>
      <w:r>
        <w:rPr>
          <w:b/>
        </w:rPr>
        <w:t>E. 4</w:t>
      </w:r>
    </w:p>
    <w:p>
      <w:r>
        <w:t>En définitive, le recours est partiellement admis dans la mesure où il est recevable. L'arrêt attaqué est annulé en tant qu'il a trait à la légitimation passive de Y.________ SA. Il est constaté que Y.________ SA a la légitimation passive. Le dossier est renvoyé à l'autorité précédente pour nouvelle décision sur les frais et dépens de première et deuxième instances cantonales et reprise de l'instruction de la cause.</w:t>
      </w:r>
    </w:p>
    <w:p>
      <w:r>
        <w:rPr>
          <w:b/>
        </w:rPr>
        <w:t>E. 5</w:t>
      </w:r>
    </w:p>
    <w:p>
      <w:r>
        <w:t>L'intimée Y.________ SA succombe sur la question centrale de sa légitimation passive. En conséquence, elle supportera les frais judiciaires ( art. 66 al. 1 LTF ) et versera au recourant une indemnité à titre de dépens ( art. 68 al. 1 et 2 LTF ). Les conclusions au fond prises contre Z.________ SA sont irrecevables. L'intimée a ainsi droit à une indemnité réduite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