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4A_328/2010 vom 24. September 2010</w:t>
      </w:r>
    </w:p>
    <w:p>
      <w:r>
        <w:t>Bundesgericht, 2010-09-24, FR</w:t>
      </w:r>
    </w:p>
    <w:p>
      <w:r>
        <w:rPr>
          <w:b/>
        </w:rPr>
        <w:t xml:space="preserve">Quelle: </w:t>
      </w:r>
      <w:r>
        <w:t>https://mcp.opencaselaw.ch/entscheid/bger_4A_328_2010</w:t>
      </w:r>
    </w:p>
    <w:p>
      <w:r>
        <w:t>FR: TF 4A_328/2010 du 24 septembre 2010</w:t>
      </w:r>
    </w:p>
    <w:p>
      <w:r>
        <w:t>IT: TF 4A_328/2010 del 24 settembre 2010</w:t>
      </w:r>
    </w:p>
    <w:p>
      <w:pPr>
        <w:pStyle w:val="Heading2"/>
      </w:pPr>
      <w:r>
        <w:t>Erwägungen</w:t>
      </w:r>
    </w:p>
    <w:p>
      <w:r>
        <w:rPr>
          <w:b/>
        </w:rPr>
        <w:t>E. 1</w:t>
      </w:r>
    </w:p>
    <w:p>
      <w:r>
        <w:t>Le Tribunal fédéral examine d'office et librement la recevabilité des recours qui lui sont soumis ( ATF 135 III 1 consid. 1.1, 329 consid. 1).</w:t>
      </w:r>
    </w:p>
    <w:p>
      <w:r>
        <w:rPr>
          <w:b/>
        </w:rPr>
        <w:t>E. 1.1</w:t>
      </w:r>
    </w:p>
    <w:p>
      <w:r>
        <w:t>L'arrêt entrepris déboute le recourant de ses conclusions fondées sur le licenciement immédiat - considéré par la cour cantonale comme reposant sur de justes motifs -, tranchant ainsi définitivement la question au plan cantonal, mais laisse par contre indécise l'issue de la demande reconventionnelle de l'intimée. Dès lors qu'il ne met pas fin à l'entier de la procédure, il ne constitue pas une décision finale ( art. 90 LTF ); en tant qu'il statue sur l'un des objets dont le sort est indépendant de celui qui reste en cause, il doit être qualifié de décision partielle et est donc à cet égard sujet à un recours immédiat au Tribunal fédéral (cf. art. 91 let. a LTF ; ATF 132 III 785 consid. 2); dans la mesure où il renvoie pour le surplus l'affaire au juge de première instance pour nouvelle décision, il constitue en revanche une décision incidente dont on ne voit pas - et le recourant ne le prétend pas davantage - qu'elle puisse causer un préjudice irréparable, ni qu'un recours immédiat permettrait d'éviter une procédure probatoire longue et coûteuse, si bien que la question de la demande reconventionnelle n'a pas à être abordée dans le cadre de la présente procédure devant le Tribunal fédéral (cf. art. 93 al. 1 LTF ; ATF 133 III 629 consid. 2; 132 III 785 consid. 2).</w:t>
      </w:r>
    </w:p>
    <w:p>
      <w:r>
        <w:rPr>
          <w:b/>
        </w:rPr>
        <w:t>E. 1.2</w:t>
      </w:r>
    </w:p>
    <w:p>
      <w:r>
        <w:t>Pour le surplus, la décision querellée a été rendue en matière civile ( art. 72 al. 1 LTF ), par une autorité cantonale de dernière instance ( art. 75 al. 1 LTF ), dans le cadre d'une affaire pécuniaire dont la valeur litigieuse dépasse le seuil de 15'000 fr. applicable en matière de droit du travail ( art. 74 al. 1 let. a LTF ), de sorte que la voie du recours en matière civile est ouverte.</w:t>
      </w:r>
    </w:p>
    <w:p>
      <w:r>
        <w:rPr>
          <w:b/>
        </w:rPr>
        <w:t>E. 2</w:t>
      </w:r>
    </w:p>
    <w:p>
      <w:r>
        <w:t>Le recours en matière civile peut être formé pour violation du droit fédéral ( art. 95 let. a LTF ), y compris les droits constitutionnels ( ATF 135 III 670 consid. 1.4; 134 III 379 consid. 1.2 p. 382). Saisi d'un tel recours, le Tribunal fédéral statue sur la base des faits établis par l'autorité précédente ( art. 105 al. 1 LTF ), dont il ne peut s'écarter que s'ils l'ont été de façon manifestement inexacte - notion qui correspond à celle d'arbitraire au sens de l' art. 9 Cst. ( ATF 135 III 127 consid. 1.5 p. 130, 397 consid. 1.5) - ou en violation du droit au sens de l' art. 95 LTF ( art. 105 al. 2 LTF ), et pour autant que la correction du vice soit susceptible d'influer sur le sort de la cause ( art. 97 al. 1 LTF ). La partie recourante qui entend faire rectifier ou compléter un fait doit expliquer de manière circonstanciée en quoi les conditions pour le faire seraient réalisées (cf. ATF 133 IV 286 consid. 6.2).</w:t>
      </w:r>
    </w:p>
    <w:p>
      <w:r>
        <w:rPr>
          <w:b/>
        </w:rPr>
        <w:t>E. 3</w:t>
      </w:r>
    </w:p>
    <w:p>
      <w:r>
        <w:t>Le recourant soutient principalement que la question des 200 fr. versés dans la cagnotte ne constituerait pas un des motifs invoqués par l'employeuse au moment de la résiliation de son contrat, ni mentionné dans la lettre du 10 avril 2009; cette question n'aurait pas engendré de rupture du lien de confiance puisque, bien que connue de l'employeuse au jour du licenciement, elle n'avait pas motivé le congé. A cet égard, le recourant joue vainement sur les mots; les motifs de la résiliation relèvent du fait ( ATF 131 III 535 consid. 4.3 p. 540) et le recourant ne démontre pas en quoi les juges cantonaux auraient arbitrairement retenu que l'épisode litigieux tombait sous le coup du reproche de s'être approprié sans droit de l'argent versé par des clients, mentionné dans la lettre de motivation du licenciement.</w:t>
      </w:r>
    </w:p>
    <w:p>
      <w:r>
        <w:rPr>
          <w:b/>
        </w:rPr>
        <w:t>E. 4</w:t>
      </w:r>
    </w:p>
    <w:p>
      <w:r>
        <w:t>Subsidiairement, le recourant plaide que le grief retenu serait infondé et ne permettrait pas de justifier la résiliation immédiate.</w:t>
      </w:r>
    </w:p>
    <w:p>
      <w:r>
        <w:rPr>
          <w:b/>
        </w:rPr>
        <w:t>E. 4.1</w:t>
      </w:r>
    </w:p>
    <w:p>
      <w:r>
        <w:t>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Une infraction pénale commise au détriment de l'employeur constitue, en principe, un motif justifiant le licenciement immédiat du travailleur. Le juge apprécie librement s'il existe de justes motifs ( art. 337 al. 3 CO ). A cet effet, il prendra en considération tous les éléments du cas particulier, notamment la position et la responsabilité du travailleur, le type et la durée des rapports contractuels, ainsi que la nature et l'importance des manquements ( ATF 130 III 28 consid. 4.1 p. 31 s.).</w:t>
      </w:r>
    </w:p>
    <w:p>
      <w:r>
        <w:rPr>
          <w:b/>
        </w:rPr>
        <w:t>E. 4.2</w:t>
      </w:r>
    </w:p>
    <w:p>
      <w:r>
        <w:t>En substance, le recourant expose qu'il n'avait aucune responsabilité accrue ni aucune compétence concernant la gestion financière, que l'existence de la cagnotte aurait été connue de l'employeuse, qu'il ne s'agissait pas systématiquement de petites sommes de quelques francs qui y étaient versées et qu'il n'avait jamais été responsable de la cagnotte, laquelle était gérée par un autre collaborateur qui décidait exclusivement de ce qui y entrait ou non, lui-même n'ayant fait que proposer de verser l'argent provenant de la vente de peinture, sans rien imposer, raison pour laquelle la cour cantonale aurait sombré dans l'arbitraire en retenant qu'il aurait "décidé" de mettre l'argent dans la cagnotte. Force est de constater que le recourant ne fait que présenter une argumentation à caractère appellatoire dans laquelle il se limite à mettre en exergue certains éléments qu'il estime utiles à sa thèse avant de tenter de faire prévaloir sa propre vision des choses sur celle des juges cantonaux; en particulier, savoir qui avait la maîtrise de la cagnotte ne change rien au fait que, quels que soient les termes que l'on emploie, le recourant a de fait pris l'initiative du versement d'argent provenant de la vente de peinture dans ladite cagnotte, disposant ainsi sans droit d'espèces revenant à l'intimée et qu'il avait encaissées au nom de cette dernière; par ailleurs, s'il n'apparaît certes pas que le recourant ait été en charge de la gestion financière, il était par contre responsable de la carrosserie, à savoir des collaborateurs, du matériel et de la clientèle, position dans l'entreprise qui lui imposait d'adopter un comportement d'autant plus irréprochable.</w:t>
      </w:r>
    </w:p>
    <w:p>
      <w:r>
        <w:t>En définitive, l'on ne voit pas que, dans les circonstances du cas particulier, la cour cantonale ait violé le droit fédéral en admettant l'existence de justes motifs de licenciement immédiat, étant rappelé que le Tribunal fédéral ne revoit qu'avec réserve la décision d'équité prise en dernière instance cantonale (cf. ATF 130 III 28 consid. 4.1 p. 32, 213 consid. 3.1 p. 220).</w:t>
      </w:r>
    </w:p>
    <w:p>
      <w:r>
        <w:rPr>
          <w:b/>
        </w:rPr>
        <w:t>E. 5</w:t>
      </w:r>
    </w:p>
    <w:p>
      <w:r>
        <w:t>Dès lors que le motif retenu par les juges cantonaux suffit à justifier le licenciement immédiat, il n'est pas nécessaire de se pencher sur l'argumentation du recourant relative aux autres griefs invoqués par l'intimée, qui n'ont pas été traités par l'autorité de recours.</w:t>
      </w:r>
    </w:p>
    <w:p>
      <w:r>
        <w:rPr>
          <w:b/>
        </w:rPr>
        <w:t>E. 6</w:t>
      </w:r>
    </w:p>
    <w:p>
      <w:r>
        <w:t>Il résulte des considérants qui précèdent que le recours doit être rejeté dans la mesure de sa recevabilité. En conséquence, les conclusions du recourant portant sur le versement de dépens pour les première et seconde instance n'ont plus lieu d'être (cf. art. 68 al. 5 LTF ).</w:t>
      </w:r>
    </w:p>
    <w:p>
      <w:r>
        <w:rPr>
          <w:b/>
        </w:rPr>
        <w:t>E. 7</w:t>
      </w:r>
    </w:p>
    <w:p>
      <w:r>
        <w:t>Compte tenu de l'issue du litige, les frais judiciaires et dépens de l'intimée pour la procédure devant le Tribunal fédéral sont mis à la charge du recourant,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