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4A_327/2023 vom 18. Januar 2024</w:t>
      </w:r>
    </w:p>
    <w:p>
      <w:r>
        <w:t>Bundesgericht, 2024-01-18, FR</w:t>
      </w:r>
    </w:p>
    <w:p>
      <w:r>
        <w:rPr>
          <w:b/>
        </w:rPr>
        <w:t xml:space="preserve">Quelle: </w:t>
      </w:r>
      <w:r>
        <w:t>https://mcp.opencaselaw.ch/entscheid/bger_4A_327_2023</w:t>
      </w:r>
    </w:p>
    <w:p>
      <w:r>
        <w:t>FR: TF 4A_327/2023 du 18 janvier 2024</w:t>
      </w:r>
    </w:p>
    <w:p>
      <w:r>
        <w:t>IT: TF 4A_327/2023 del 18 gennaio 2024</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15'000 fr. ouvrant le recours en matière civile dans les affaires pécuniaires relevant du droit du travail ( art. 74 al. 1 let. a LTF ). La recourante, dont certaines des conclusions condamnatoires ont été rejetées, a la qualité pour recourir ( art. 76 al. 1 LTF ). La lecture de son recours permet de comprendre la nature des conclusions qu'elle formule, sachant que de pures conclusions cassatoires se heurteraient dans le présent contexte à l'irrecevabilité. Déposé dans le délai ( art. 100 al. 1 LTF ) et la forme ( art. 42 LTF ) prévus par la loi, le recours est donc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Il est constant qu'un contrat de travail a lié les parties jusqu'à sa résiliation par l'employeuse le 23 octobre 2018. A ce stade, le litige ne porte plus que sur les deux éléments sur lesquels la cour cantonale a retoqué le premier jugement: d'une part, le caractère abusif du congé-modification ( art. 336 ss CO ); d'autre part, la délivrance d'un certificat de travail conforme aux attentes de l'employée ( art. 330a al. 1 CO ).</w:t>
      </w:r>
    </w:p>
    <w:p>
      <w:r>
        <w:rPr>
          <w:b/>
        </w:rPr>
        <w:t>E. 4</w:t>
      </w:r>
    </w:p>
    <w:p>
      <w:r>
        <w:t>Sous l'égide du congé abusif, la recourante formule des griefs de deux ordres: la cour cantonale aurait sombré dans l'arbitraire en appréciant les preuves et en constatant les faits déterminants; elle aurait de surcroît violé l' art. 336 CO en ne reconnaissant point le caractère abusif du congé-modification dont la recourante aurait fait l'objet.</w:t>
      </w:r>
    </w:p>
    <w:p>
      <w:r>
        <w:rPr>
          <w:b/>
        </w:rPr>
        <w:t>E. 4.1</w:t>
      </w:r>
    </w:p>
    <w:p>
      <w:r>
        <w:t>Chaque partie peut décider unilatéralement de mettre fin à un contrat de travail de durée indéterminée ( art. 335 al. 1 CO ). Ce droit est toutefois limité par les dispositions sur le congé abusif ( art. 336 ss CO ). L' art. 336 al. 1 et 2 CO énumère des cas dans lesquels la résiliation est abusive; cette liste n'est toutefois pas exhaustive et une résiliation abusive peut aussi être admise dans d'autres circonstances, en application de l' art. 2 al. 2 CC (arrêt 4A_485/2016 du 28 avril 2017 consid. 2.2). Il faut cependant que ces autres situations apparaissent comparables, par leur gravité, aux cas expressément envisagés par l' art. 336 CO ( ATF 136 III 513 consid. 2.3; 132 III 115 consid. 2.1; 131 III 535 consid. 4.2).</w:t>
      </w:r>
    </w:p>
    <w:p>
      <w:r>
        <w:t>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pas se livrer à un double jeu, contrevenant de manière caractéristique au principe de la bonne foi. Ainsi, une violation grossière du contrat, par exemple une atteinte grave au droit de la personnalité (cf. art. 328 CO ) dans le contexte d'une résiliation, peut faire apparaître le congé comme abusif (arrêt 8C_838/2009 du 17 février 2010 consid. 4.2; ATF 132 III 115 consid. 2.2; 131 III 535 consid. 4.2; 125 III 70 consid. 2b).</w:t>
      </w:r>
    </w:p>
    <w:p>
      <w:r>
        <w:t>Lorsque la résiliation par une partie est fonction du refus par l'autre partie d'accepter une modification des conditions de travail, on est en présence d'un congé-modification ("</w:t>
      </w:r>
    </w:p>
    <w:p>
      <w:r>
        <w:t>Änderungskündigung ").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 ATF 123 III 246 consid. 3). En principe, le congé-modification n'est pas abusif, mais il peut l'être dans certaines circonstances ( ATF 123 III 246 précité consid. 3b et consid. 4a). Si l'employeur a proposé des modifications appelées à entrer en vigueur avant l'expiration du délai de résiliation, s'il utilise la résiliation comme un moyen de pression pour imposer au travailleur une modification injustifiée - par exemple des clauses contractuelles moins favorables sans motifs économiques liés à l'exploitation de l'entreprise ou aux conditions du marché -, si le congé est donné parce que l'employé refuse de conclure un nouveau contrat qui viole la loi, la convention collective ou le contrat-type applicable ou encore si l'employeur exploite la violation de ses obligations contractuelles de protection envers l'employé pour proposer à celui-ci une modification des conditions de travail très défavorable ( ATF 125 III 70 consid. 2a; 123 III 246 consid. 3b et 4a; arrêts 4A_166/2018 du 20 mars 2019 consid. 3.2 et 4A_194/2011 du 5 juillet 2011 consid. 6.1).</w:t>
      </w:r>
    </w:p>
    <w:p>
      <w:r>
        <w:rPr>
          <w:b/>
        </w:rPr>
        <w:t>E. 4.2</w:t>
      </w:r>
    </w:p>
    <w:p>
      <w:r>
        <w:t>La cour cantonale a considéré que l'employeuse avait adressé un congé-modification à l'employée, puisqu'elle avait mis fin à son contrat de travail tout en lui proposant d'en conclure un autre à un taux et un salaire moindre.</w:t>
      </w:r>
    </w:p>
    <w:p>
      <w:r>
        <w:t>S'agissant du motif de cette résiliation, elle a constaté qu'il résidait dans l'intérêt pour l'employeuse de réorganiser sa succursale neuchâteloise pour répondre aux plaintes de l'employée liées à sa surcharge de travail; il s'agissait de remplacer le poste qu'elle occupait à 100 % par deux postes à 80 % chacun, totalisant donc 160 %.</w:t>
      </w:r>
    </w:p>
    <w:p>
      <w:r>
        <w:t>La cour cantonale s'est interrogée sur le point de savoir si l'employeuse avait fait pression sur l'employée pour lui imposer une modification injustifiée du contrat, à savoir une modification qui ne reposerait sur aucun motif d'ordre économique ou lié à la marche de l'entreprise, respectivement si elle se serait servie d'un prétexte pour la licencier. Elle a cependant tranché cette question par la négative: la surcharge de travail de l'employée était bien réelle; par ailleurs, l'augmentation voulue en terme de forces de travail était apte à atteindre l'objectif visé. Quant à savoir si cette mesure (engager deux personnes au taux d'activité de 80 % chacune) était la plus adéquate, la cour cantonale a considéré qu'il ne lui appartenait pas d'en juger, puisque cela reviendrait à s'immiscer dans la gestion et la stratégie d'entreprise de l'intimée. Il n'existait pas au surplus de disproportion grossière des intérêts en présence. A cela s'ajoutait que le "dédoublement" du poste de travail de l'employée avait également pour but de s'aligner sur le mode de fonctionnement des bureaux de Genève et de préparer la relève dans la perspective du futur départ à la retraite de l'employée. Le licenciement n'était donc pas abusif, à en juger par les motifs qui l'avaient dicté.</w:t>
      </w:r>
    </w:p>
    <w:p>
      <w:r>
        <w:t>Il ne l'était pas non plus à raison de la manière dont il avait été signifié. L'annonce n'était pas intervenue de manière brutale, malveillante, humiliante ou dépourvue d'égards et devant tous ses collègues. La volonté de l'employeuse n'était pas de gâcher les vacances que l'employée devait prendre peu après, ni d'avoir une réponse de sa part à son retour de vacances.</w:t>
      </w:r>
    </w:p>
    <w:p>
      <w:r>
        <w:rPr>
          <w:b/>
        </w:rPr>
        <w:t>E. 4.3</w:t>
      </w:r>
    </w:p>
    <w:p>
      <w:r>
        <w:t>La recourante voit l'empreinte de l'arbitraire dans la manière dont la cour cantonale a apprécié les preuves, respectivement constaté les faits pertinents.</w:t>
      </w:r>
    </w:p>
    <w:p>
      <w:r>
        <w:t>En premier lieu, la recourante n'aurait, à ses dires, pas souffert d'une surcharge de travail. Cela étant, les éléments qu'elle avance sont impropres à démontrer l'inanité de l'appréciation contraire, solidement ancrée sur des éléments de preuve convergents.</w:t>
      </w:r>
    </w:p>
    <w:p>
      <w:r>
        <w:t>Elle soutient également que la transformation de son poste de travail en deux postes à temps partiel (80%) totalisant 160 %, ne serait pas de nature à réduire le problème de la charge de travail. En pure perte car la logique et le bon sens dictent le contraire.</w:t>
      </w:r>
    </w:p>
    <w:p>
      <w:r>
        <w:t>Autre serait la question de savoir si l'employeuse n'aurait pas plutôt dû engager une seconde personne à 60 %, ce qui aurait laissé intact le poste que l'employée occupait à 100 %. Il n'appartient toutefois pas au juge de lui dicter la mesure à prendre, parmi celles qui seraient envisageables, à la seule aune de l'intérêt de l'employée, ce que la cour cantonale a fort bien reconnu. La recourante n'est elle-même pas aussi catégorique.</w:t>
      </w:r>
    </w:p>
    <w:p>
      <w:r>
        <w:t>Quant aux autres éléments de fait retenus par la cour cantonale, ils ne sont pas décisifs. Ainsi, lorsque les juges cantonaux observent - non sans élément de preuve à l'appui - que la mesure querellée faisait sens afin d'anticiper le départ à la retraite de l'employée. Ou lorsqu'il est question de la volonté de l'intimée de réorganiser la succursale de Neuchâtel suivant le même modèle que celle de Genève. Ces considérations ne font que conforter la conclusion à laquelle ils ont déjà abouti, à savoir que le motif du congé-modification n'avait rien d'abusif. Savoir s'ils sont arbitraires ne changerait donc rien à l'issue du litige.</w:t>
      </w:r>
    </w:p>
    <w:p>
      <w:r>
        <w:t>Certes, les juges cantonaux ont renoncé à déterminer si l'employée avait bien fait part à l'employeuse de sa volonté de réduire son taux d'activité, ainsi que cette dernière l'avait allégué. Cela étant, ainsi qu'ils l'ont exprimé, cet élément est dépourvu de toute incidence. La recourante ne saurait dès lors s'en formaliser.</w:t>
      </w:r>
    </w:p>
    <w:p>
      <w:r>
        <w:t>S'agissant de la forme du licenciement, la recourante soutient également que les faits qui ont guidé la cour cantonale auraient été établis de manière arbitraire. On ne saurait toutefois lui emboîter le pas. Il est certes établi que la diminution du taux de travail de l'employée à 80 % a été évoquée lors de la séance du 23 octobre 2018 en présence des collaborateurs de la succursale neuchâteloise. Cela ne veut toutefois pas dire que le licenciement de la recourante lui ait été signifié devant tous ses collègues. Les témoignages auxquels la recourante se réfère ne vont pas non plus dans cette direction.</w:t>
      </w:r>
    </w:p>
    <w:p>
      <w:r>
        <w:t>La recourante se plaint enfin d'une violation de l' art. 336 CO , mais ce grief ne se distingue pas du précédent; en d'autres termes, il est vidé de sa substance dès lors que les faits déterminants ne sont pas frappés d'arbitraire.</w:t>
      </w:r>
    </w:p>
    <w:p>
      <w:r>
        <w:t>Partant, c'est à bon droit que la cour cantonale a jugé que le congé-modification n'était pas abusif.</w:t>
      </w:r>
    </w:p>
    <w:p>
      <w:r>
        <w:rPr>
          <w:b/>
        </w:rPr>
        <w:t>E. 5</w:t>
      </w:r>
    </w:p>
    <w:p>
      <w:r>
        <w:t>Au chapitre du certificat de travail, la cour cantonale a observé que l'employeuse avait remis à l'employée un certificat de travail daté du 21 février 2019 qui attestait de la période passée par celle-ci au service de la société, des tâches effectuées dans ce cadre et comprenant notamment la phrase suivante : " Madame A.________ est une collaboratrice faisant preuve d'une grande détermination. Elle a su évoluer de manière efficace ". L'employée demandait que cette dernière phrase soit complétée par l'ajout " et nous a donné pleine et entière satisfaction ". Cela étant, l'employée n'avait pas prouvé qu'elle avait effectivement donné pleine et entière satisfaction à son employeuse; c'était bien plutôt le contraire que les éléments au dossier laissaient transparaître. Quant à savoir si l'employeuse avait ou non des raisons objectives de ne pas être pleinement satisfaite de ses prestations, la réponse dépendait du sort que la cour civile réserverait à la demande en paiement que l'employeuse avait formulée à l'encontre de la travailleuse pour violation de ses obligations contractuelles; or la procédure corrélative était toujours pendante. Dans ces conditions, le certificat de travail n'avait pas à être modifié dans le sens voulu par la recourante.</w:t>
      </w:r>
    </w:p>
    <w:p>
      <w:r>
        <w:t>La recourante prétend que l'intimée aurait allégué qu'elle était prête à rédiger un certificat de travail comportant la mention suivante " et nous a donné pleine et entière satisfaction jusqu'à sa libération de travailler ". A l'en croire, les faits auraient donc été constatés de manière inexacte. Cela étant, on ne saurait dire que l'intimée a acquiescé aux conclusions de la recourante, puisqu'elle était tout au plus d'accord d'indiquer que celle-ci lui avait donné pleine et entière satisfaction jusqu'à ce qu'elle soit libérée de son obligation de travailler (cf. également réponse de l'intimée let. E). C'est apparemment l'enjeu de la procédure pendante entre les parties devant la Cour d'appel civile du Tribunal cantonal de Neuchâtel: l'employeuse reproche à l'employée divers agissements intervenus après cette date. Il y a donc là une nuance de taille. D'après la recourante, à laquelle cette nuance n'a manifestement pas échappé, les dernières semaines de la relation de travail ne devraient pas revêtir une importance particulière. On ne voit toutefois pas ce qui lui permet de l'affirmer.</w:t>
      </w:r>
    </w:p>
    <w:p>
      <w:r>
        <w:t>Les griefs d'arbitraire et de "violation du droit" sont là encore mal fondés.</w:t>
      </w:r>
    </w:p>
    <w:p>
      <w:r>
        <w:rPr>
          <w:b/>
        </w:rPr>
        <w:t>E. 6</w:t>
      </w:r>
    </w:p>
    <w:p>
      <w:r>
        <w:t>Partant, le recours doit être rejeté. La recourante supportera donc les frais judiciaires et versera à son adverse partie une indemnité à titre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