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325/2017 vom 30. April 2018</w:t>
      </w:r>
    </w:p>
    <w:p>
      <w:r>
        <w:t>Bundesgericht, 2018-04-30, IT</w:t>
      </w:r>
    </w:p>
    <w:p>
      <w:r>
        <w:rPr>
          <w:b/>
        </w:rPr>
        <w:t xml:space="preserve">Quelle: </w:t>
      </w:r>
      <w:r>
        <w:t>https://mcp.opencaselaw.ch/entscheid/bger_4A_325_2017</w:t>
      </w:r>
    </w:p>
    <w:p>
      <w:r>
        <w:t>FR: TF 4A 325/2017 du 30 avril 2018</w:t>
      </w:r>
    </w:p>
    <w:p>
      <w:r>
        <w:t>IT: TF 4A 325/2017 del 30 aprile 2018</w:t>
      </w:r>
    </w:p>
    <w:p>
      <w:pPr>
        <w:pStyle w:val="Heading2"/>
      </w:pPr>
      <w:r>
        <w:t>Regeste</w:t>
      </w:r>
    </w:p>
    <w:p>
      <w:r>
        <w:t>contratto collettivo di lavoro; penalità per lavoro di sabato | Procedura civile</w:t>
      </w:r>
    </w:p>
    <w:p>
      <w:pPr>
        <w:pStyle w:val="Heading2"/>
      </w:pPr>
      <w:r>
        <w:t>Erwägungen</w:t>
      </w:r>
    </w:p>
    <w:p>
      <w:r>
        <w:rPr>
          <w:b/>
        </w:rPr>
        <w:t>E. 1</w:t>
      </w:r>
    </w:p>
    <w:p>
      <w:r>
        <w:t>La A.________ SA è un'impresa interinale che ha messo a disposizione di una ditta attiva nel ramo della pittura un proprio dipendente. In tale settore vige il contratto collettivo di lavoro per il ramo pittura e gessatura a cui il Consiglio federale ha conferito carattere obbligatorio (in seguito: CCL-CH). L'art. 8 CCL-CH recita che in linea di principio la settimana lavorativa è di 5 giorni (dal lunedì al venerdì), che è possibile derogarvi solo in casi eccezionali, che il lavoro di sabato rimane un'eccezione e che la Commissione professionale paritetica centrale determina le eccezioni. Secondo l'art. 6.5 CCL-CH possono essere inflitte multe convenzionali ai datori di lavoro che non rispettano gli obblighi previsti dal contratto collettivo. Nell'ambito di un controllo effettuato su un cantiere sabato 14 maggio 2016, gli ispettori hanno rilevato la presenza del predetto dipendente, nonostante il fatto che alla ditta acquisitrice non fosse stata conferita alcuna autorizzazione di lavoro sabatino. La Commissione Paritetica Cantonale nel ramo della pittura, verniciatura, tappezzeria e sabbiatura (in seguito CPC pittura) ha quindi emesso una multa di fr. 400.--, oltre fr. 100.-- di spese, nei confronti della A.________ SA per violazione del divieto di lavoro al sabato.</w:t>
      </w:r>
    </w:p>
    <w:p>
      <w:r>
        <w:rPr>
          <w:b/>
        </w:rPr>
        <w:t>E. 2</w:t>
      </w:r>
    </w:p>
    <w:p>
      <w:r>
        <w:t>La A.________ SA ha adito l'arbitro unico nel ramo della pittura, verniciatura, tappezzeria e sabbiatura, il quale ha confermato la decisione della CPC pittura con lodo 19 maggio 2017. Premessa l'incontestata infrazione al divieto di lavoro al sabato, l'arbitro unico ha ritenuto che giusta l'art. 20 della Legge federale sul collocamento e il personale a prestito (Legge sul collocamento; LC; RS 823.11) la ditta interinale è stata giustamente sanzionata.</w:t>
      </w:r>
    </w:p>
    <w:p>
      <w:r>
        <w:rPr>
          <w:b/>
        </w:rPr>
        <w:t>E. 3</w:t>
      </w:r>
    </w:p>
    <w:p>
      <w:r>
        <w:t>Con ricorso in materia civile, consegnato alla posta il 14 giugno 2017, la A.________ SA postula l'annullamento del lodo impugnato e la sua riforma nel senso che la decisione della CPC pittura sia annullata. Con risposta 6 luglio 2017 la CPC pittura propone, in via principale, di dichiarare il ricorso inammissibile e, in via subordinata, di respingerlo. Le parti hanno proceduto spontaneamente a un secondo scambio di scritti.</w:t>
      </w:r>
    </w:p>
    <w:p>
      <w:r>
        <w:rPr>
          <w:b/>
        </w:rPr>
        <w:t>E. 4</w:t>
      </w:r>
    </w:p>
    <w:p>
      <w:r>
        <w:t>Un ricorso in materia civile diretto contro una decisione emanata in una procedura arbitrale retta dal CPC è unicamente ammissibile per i motivi di ricorso elencati nell' art. 393 CPC . È pertanto escluso prevalersi di una violazione del diritto federale non annoverata in tale articolo. 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5.1</w:t>
      </w:r>
    </w:p>
    <w:p>
      <w:r>
        <w:t>L'arbitro unico ha indicato che il Consiglio federale ha conferito obbligatorietà generale al CCL-CH e ha ritenuto che alla ricorrente potesse essere addossata una multa convenzionale per avere infranto l'art. 8 CCL-CH, perché l' art. 20 LC recita che " se un'impresa acquisitrice è sottoposta a un contratto collettivo di lavoro di obbligatorietà generale, il prestatore deve rispettare, riguardo al lavoratore, le disposizioni del contratto collettivo concernenti il salario e la durata del lavoro " e che il Consiglio federale ha, nell'art. 48a cpv. 2 lett. b dell'ordinanza sul collocamento e il personale a prestito (ordinanza sul collocamento; OC; RS 823.111), precisato che le disposizioni concernenti la durata del lavoro disciplinano la settimana di 5 giorni.</w:t>
      </w:r>
    </w:p>
    <w:p>
      <w:r>
        <w:rPr>
          <w:b/>
        </w:rPr>
        <w:t>E. 5.2</w:t>
      </w:r>
    </w:p>
    <w:p>
      <w:r>
        <w:t>La ricorrente afferma che il lodo sarebbe arbitrario perché fondato su una manifesta violazione del diritto. Assevera di aver ceduto, quale impresa interinale e come peraltro risulta dal tenore dell' art. 26 cpv. 1 OC , all'impresa acquisitrice il potere di impartire istruzioni al lavoratore. Sostiene poi di essere venuta a conoscenza del fatto che il lavoratore si trovasse sul cantiere di sabato solo dopo aver ricevuto i relativi rapporti di lavoro e ritiene di non essere né obbligata né autorizzata a richiedere il relativo permesso, incombenza che spetterebbe unicamente alla ditta acquisitrice.</w:t>
      </w:r>
    </w:p>
    <w:p>
      <w:r>
        <w:rPr>
          <w:b/>
        </w:rPr>
        <w:t>E. 5.3</w:t>
      </w:r>
    </w:p>
    <w:p>
      <w:r>
        <w:t>Nella fattispecie con la summenzionata censura, di natura appellatoria e che si esaurisce in una personale interpretazione delle norme del diritto federale e delle disposizioni del CCL applicabili, la ricorrente misconosce le esigenze di motivazione poste a un ricorso in materia civile contro un lodo arbitrale. Essa nemmeno spende una parola per spiegare per quale motivo sarebbe addirittura insostenibile pretendere da un'impresa interinale di preoccuparsi del rispetto di disposizioni sul tempo di lavoro dei suoi dipendenti previste da contratti collettivi di lavoro di obbligatorietà generale.</w:t>
      </w:r>
    </w:p>
    <w:p>
      <w:r>
        <w:rPr>
          <w:b/>
        </w:rPr>
        <w:t>E. 6</w:t>
      </w:r>
    </w:p>
    <w:p>
      <w:r>
        <w:t>Da quanto precede discende che il ricorso si rivela inammissibile.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