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4A_324/2020 vom 18. September 2020</w:t>
      </w:r>
    </w:p>
    <w:p>
      <w:r>
        <w:t>Bundesgericht, 2020-09-18, FR</w:t>
      </w:r>
    </w:p>
    <w:p>
      <w:r>
        <w:rPr>
          <w:b/>
        </w:rPr>
        <w:t xml:space="preserve">Quelle: </w:t>
      </w:r>
      <w:r>
        <w:t>https://mcp.opencaselaw.ch/entscheid/bger_4A_324_2020</w:t>
      </w:r>
    </w:p>
    <w:p>
      <w:r>
        <w:t>FR: TF 4A_324/2020 du 18 septembre 2020</w:t>
      </w:r>
    </w:p>
    <w:p>
      <w:r>
        <w:t>IT: TF 4A_324/2020 del 18 settembre 2020</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tribunal arbitral, celles-ci se sont servies de l'anglais, tandis que, dans son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Le recourant a un intérêt digne de protection à l'annulation de la sentence attaquée. Sa qualité pour recourir n'est ainsi pas contestable ( art. 76 al. 1 LTF ). Interjeté en temps utile ( art. 100 al. 1 LTF ) et dans les formes requises ( art. 42 al. 1 et 2 LTF ), le recours en matière civile est donc en principe recevable au regard des dispositions qui précèdent.</w:t>
      </w:r>
    </w:p>
    <w:p>
      <w:r>
        <w:t>Sauf exception qui n'entre pas en ligne de compte en l'espèce, le recours en matière civile dirigé contre une sentence arbitrale n'a généralement qu'un caractère cassatoire (cf. l' art. 77 al. 2 LTF qui exclut l'application de l' art. 107 al. 2 LTF dans la mesure où cette dernière disposition permet au Tribunal fédéral de statuer sur le fond de l'affaire). Le recourant méconnaît la nature cassatoire du recours lorsqu'il requiert le Tribunal fédéral non seulement d'annuler la sentence attaquée, mais aussi de débouter l'intimé " de toutes autres (...) conclusions " et de condamner celui-ci au paiement des frais et dépens de la procédure conduite par le Tribunal arbitral. Dans la mesure où l'objet de ses conclusions va, en partie, au-delà de l'annulation de cette sentence, son recours est irrecevable.</w:t>
      </w:r>
    </w:p>
    <w:p>
      <w:r>
        <w:rPr>
          <w:b/>
        </w:rPr>
        <w:t>E. 3</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tribunal arbitral se trouve à Genève. L'une des parties au moins n'avait pas son domicile en Suisse au moment déterminant. Les dispositions du chapitre 12 de la LDIP sont donc applicables ( art. 176 al. 1 LDIP ).</w:t>
      </w:r>
    </w:p>
    <w:p>
      <w:r>
        <w:rPr>
          <w:b/>
        </w:rPr>
        <w:t>E. 4.1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w:t>
      </w:r>
    </w:p>
    <w:p>
      <w:r>
        <w:t>Aussi bien, la mission du Tribunal fédéral,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4.2</w:t>
      </w:r>
    </w:p>
    <w:p>
      <w:r>
        <w:t>Dans une section du mémoire qu'il a adressé au Tribunal fédéral (p. 3 à 6), intitulée " Contexte de faits particuliers " (p. 3 à 6), le recourant présente sa propre version des circonstances de la cause en litige. Il y formule des assertions dont certaines s'écartent des constatations faites par le tribunal arbitral. Cette manière de procéder est incompatible avec la nature du recours en matière civile visant une sentence arbitrale internationale et avec le pouvoir d'examen dont jouit le Tribunal fédéral en ce domaine. Il y a lieu, partant, de faire abstraction de ce pseudo-rappel des faits déterminants.</w:t>
      </w:r>
    </w:p>
    <w:p>
      <w:r>
        <w:rPr>
          <w:b/>
        </w:rPr>
        <w:t>E. 5</w:t>
      </w:r>
    </w:p>
    <w:p>
      <w:r>
        <w:t>Il est constant que les parties ont conclu deux actes juridiques ayant pour objet les 75 actions de C.2.________ détenues alors par l'intimé, soit un contrat de vente (SPA) et une convention de fiducie ("</w:t>
      </w:r>
    </w:p>
    <w:p>
      <w:r>
        <w:t>Declaration of trust ") et que l'un de ces contrats a été simulé.</w:t>
      </w:r>
    </w:p>
    <w:p>
      <w:r>
        <w:t>Dans la sentence attaquée, le Tribunal arbitral rappelle qu'un acte est simulé au sens de l' art. 18 CO lorsque les parties conviennent d'émettre des déclarations qui ne concordent pas avec leur volonté véritable; les effets juridiques correspondant au sens objectif de leurs déclarations ne doivent pas se produire. La volonté véritable des parties tendra soit à ne produire aucun effet juridique, soit à produire un effet autre que celui de l'acte apparent; dans ce dernier cas, les parties veulent en réalité conclure un second acte dissimulé. Le contrat simulé est nul, tandis que l'éventuel contrat dissimulé est valable si les dispositions légales auxquelles il est soumis quant à sa forme et à son contenu ont été observées. Se référant ensuite à la jurisprudence rendue par le Tribunal fédéral, les arbitres soulignent que le contrat fiduciaire est une convention par laquelle une partie (le fiduciant) rend l'autre (le fiduciaire) titulaire sans réserve d'un droit à l'égard des tiers, tandis qu'envers elle (le fiduciant), le fiduciaire est conventionnellement tenu de ne pas exercer le droit cédé, de ne l'exercer que partiellement ou encore de le lui rétrocéder à certaines conditions. Le contrat fiduciaire se compose donc nécessairement de deux actes juridiques, à savoir d'une part le transfert sans réserve du droit vis-à-vis des tiers, et d'autre part la restriction apportée aux droits du fiduciaire dans le rapport entre les parties contractantes.</w:t>
      </w:r>
    </w:p>
    <w:p>
      <w:r>
        <w:t>Après avoir examiné attentivement les circonstances entourant la conclusion des deux conventions ainsi que le comportement adopté par les parties jusqu'à la naissance du litige, le Tribunal arbitral retient que le SPA a été simulé. La réelle et commune intention des parties était en effet de conclure un contrat de fiducie. Le Tribunal arbitral considère que ledit contrat est valable, qu'il a été résilié en date du 28 janvier 2019, et que le recourant est dès lors tenu de restituer à son cocontractant les 75 actions de C.2.________.</w:t>
      </w:r>
    </w:p>
    <w:p>
      <w:r>
        <w:rPr>
          <w:b/>
        </w:rPr>
        <w:t>E. 6</w:t>
      </w:r>
    </w:p>
    <w:p>
      <w:r>
        <w:t>La Cour de céans est liée par les constatations de fait du tribunal arbitral relatives à la volonté réelle et commune des parties, et aux actes qui ont été effectivement conclus. En effet, savoir si les parties avaient la volonté (réelle) de feindre une convention revient à constater leur volonté interne au moment de la conclusion du contrat, soit un élément factuel (arrêt 4A_473/2018 du 5 juin 2019 consid. 4.1.3 et les arrêts cités). Partant, il n'y a pas lieu de revenir sur l'analyse des arbitres selon laquelle le SPA, acte simulé, est nul, tandis que l'acte dissimulé, soit le contrat de fiducie, est valable. Aussi est-ce en vain que le recourant soutient, de façon purement appellatoire, que le tribunal arbitral a " invalidé le mauvais contrat ".</w:t>
      </w:r>
    </w:p>
    <w:p>
      <w:r>
        <w:rPr>
          <w:b/>
        </w:rPr>
        <w:t>E. 7</w:t>
      </w:r>
    </w:p>
    <w:p>
      <w:r>
        <w:t>Dans un unique moyen, le recourant soutient que la sentence attaquée est incompatible avec l'ordre public matériel au sens de l' art. 190 al. 2 let . e LDIP et de la jurisprudence y relative.</w:t>
      </w:r>
    </w:p>
    <w:p>
      <w:r>
        <w:rPr>
          <w:b/>
        </w:rPr>
        <w:t>E. 7.1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w:t>
      </w:r>
    </w:p>
    <w:p>
      <w:r>
        <w:t>Pour juger si la sentence est compatible avec l'ordre public,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t>Il ne faut pas oublier que même lorsque le Tribunal fédéral est appelé à statuer sur un recours dirigé contre une sentence rendue par un tribunal arbitral ayant son siège en Suisse et appliquant le droit suisse, il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comme il le ferait s'il était saisi d'un recours en matière civile dirigé contre un arrêt étatique (arrêts 4A_318/2018 du 4 mars 2019 consid. 4.5.1; 4A_312/2017 du 27 novembre 2017 consid. 3.3.4.2; 4A_32/2016 du 20 décembre 2016 consid. 4.3).</w:t>
      </w:r>
    </w:p>
    <w:p>
      <w:r>
        <w:rPr>
          <w:b/>
        </w:rPr>
        <w:t>E. 7.2</w:t>
      </w:r>
    </w:p>
    <w:p>
      <w:r>
        <w:t>A l'appui de son grief, le recourant soutient que le contrat de fiducie serait nul ( art. 20 al. 1 CO ), dès lors que l'intimé aurait échafaudé une construction juridique visant à dissimuler sa qualité d'ayant droit économique de C.2.________ à l'égard des établissements bancaires suisses. Insistant sur le fait qu'un formulaire A, dont le contenu est inexact à propos de l'ayant droit économique, constitue un faux dans les titres au sens de l'art. 251 du Code pénal suisse (CP), l'intéressé prétend que le contrat de fiducie, conclu dans l'optique de cacher l'identité du véritable ayant droit économique, serait également illicite.</w:t>
      </w:r>
    </w:p>
    <w:p>
      <w:r>
        <w:rPr>
          <w:b/>
        </w:rPr>
        <w:t>E. 8</w:t>
      </w:r>
    </w:p>
    <w:p>
      <w:r>
        <w:t>Il est un principe général en vertu duquel quiconque participe à la procédure doit se conformer aux règles de la bonne foi. Ces règles commandent notamment de ne pas adopter une attitude contradictoire ( ATF 135 III 162 consid. 3.3.1 p. 169 et les arrêts cités). C'est pourtant pareil comportement que l'on peut imputer au recourant, lorsque, changeant son fusil d'épaule, il soutient, pour la première fois devant le Tribunal fédéral, que le contrat de fiducie est nul car illicite. Cette thèse nouvelle, formulée a posteriori par le nouveau mandataire du recourant, ne correspond pas à la position juridique adoptée par son auteur devant le tribunal arbitral. En effet, lors de la procédure arbitrale, l'intéressé n'a jamais prétendu que le contrat de fiducie était en l'occurrence illicite, mais a au contraire soutenu que celui-ci avait été simulé, la volonté réelle et commune des parties étant de vouloir conclure une véritable vente. Dès lors, le recourant ne peut pas, de bonne foi, venir soutenir aujourd'hui que le contrat de fiducie n'a, en réalité pas été simulé, mais est toutefois illicite.</w:t>
      </w:r>
    </w:p>
    <w:p>
      <w:r>
        <w:t>Le recourant est de toute manière malvenu à fustiger le comportement de l'intimé, en lui reprochant d'avoir organisé une véritable " architecture juridique de tromperie et de dissimulation ", dans la mesure où il appert des constatations faites par le tribunal arbitral que les deux partenaires contractuels n'entendaient pas conclure une vente en bonne et due forme, mais bel et bien créer l'illusion d'une telle vente à l'égard des tiers, en particulier des banques. N'en déplaise au recourant, la construction juridique imaginée par les parties a été réalisée d'un commun accord entre elles. Dans ces conditions, le recourant ne saurait plaider, a posteriori, l'illicéité du contrat.</w:t>
      </w:r>
    </w:p>
    <w:p>
      <w:r>
        <w:t>En tout état de cause, même à suivre la thèse prônée par le recourant, le résultat auquel la sentence a abouti demeurerait inchangé et compatible avec l'ordre public. En effet, si le tribunal arbitral était parvenu à la conclusion que l'acte dissimulé, soit le contrat de fiducie, était nul, il aurait logiquement considéré que le recourant n'était jamais devenu propriétaire des 75 actions de C.2.________, le transfert de celles-ci ayant été opéré sans cause valable. Aussi le recourant serait-il également tenu, dans cette hypothèse, de restituer lesdites actions à l'intimé.</w:t>
      </w:r>
    </w:p>
    <w:p>
      <w:r>
        <w:rPr>
          <w:b/>
        </w:rPr>
        <w:t>E. 9</w:t>
      </w:r>
    </w:p>
    <w:p>
      <w:r>
        <w:t>Sur le vu de ce qui précède, le recours doit être rejeté dans la mesure de sa recevabilité.</w:t>
      </w:r>
    </w:p>
    <w:p>
      <w:r>
        <w:t>Le recourant, qui succombe, prendra à sa charge les frais de la procédure fédérale ( art. 66 al. 1 LTF ) et versera en outre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