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4A_323/2019 vom 22. November 2019</w:t>
      </w:r>
    </w:p>
    <w:p>
      <w:r>
        <w:t>Bundesgericht, 2019-11-22, DE</w:t>
      </w:r>
    </w:p>
    <w:p>
      <w:r>
        <w:rPr>
          <w:b/>
        </w:rPr>
        <w:t xml:space="preserve">Quelle: </w:t>
      </w:r>
      <w:r>
        <w:t>https://mcp.opencaselaw.ch/entscheid/bger_4A_323_2019</w:t>
      </w:r>
    </w:p>
    <w:p>
      <w:r>
        <w:t>FR: TF 4A_323/2019 du 22 novembre 2019</w:t>
      </w:r>
    </w:p>
    <w:p>
      <w:r>
        <w:t>IT: TF 4A_323/2019 del 22 novembre 2019</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Eintretensvoraussetzungen der Beschwerde gegen den angefochtenen Endentscheid des Obergerichts des Kantons Zug sind erfüllt und geben zu keinen Bemerkungen Anlass. Vorbehältlich einer rechtsgenüglichen Begründung ( Art. 42 Abs. 2 und Art. 106 Abs. 2 BGG ), ist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1.4</w:t>
      </w:r>
    </w:p>
    <w:p>
      <w:r>
        <w:t>Die Beschwerdeführerin kritisiert die Sachverhaltsfeststellungen im angefochtenen Entscheid nicht ausdrücklich als willkürlich. Sie ergänzt indes an einigen Stellen den von der Vorinstanz festgestellten Sachverhalt in unzulässiger Weise durch eigene Ausführungen in tatsächlicher Hinsicht oder reisst Feststellungen des angefochtenen Entscheids aus dem Zusammenhang und zieht daraus eigene Schlüsse. Sofern die Vorbringen tatsächlicher Natur der Beschwerdeführerin von den Feststellungen der Vorinstanz abweichen respektive darüber hinausgehen, können sie nicht berücksichtigt werden.</w:t>
      </w:r>
    </w:p>
    <w:p>
      <w:r>
        <w:t>Entgegen dem, was die Beschwerdeführerin teilweise anzunehmen scheint, ist auch die Frage, ob zwischen ihr und den Geschwistern B.________ eine Vereinbarung besteht und wie deren Inhalt lautet, Tat- und nicht Rechtsfrage. Mithin wurde gemäss tatsächlicher Feststellung der Vorinstanz vereinbart, dass Aktien der B.________ SpA auf die Beschwerdeführerin übertragen werden, welche diese in eigenem Namen und unter entsprechender Rückerstattungspflicht gegenüber den Geschwistern B.________ respektive deren Erben zu halten habe. Sofern die Beschwerdeführerin hiergegen in tatsächlicher Hinsicht einwendet, sie halte die Aktien der B.________ SpA nur für ihren im Aktienbuch eingetragenen Aktionär und nicht für die weiteren Geschwister B.________ bzw. deren Erben, verlässt sie in unzulässiger Weise die Feststellungen des angefochtenen Urteils. Da die Beschwerdeführerin keine (rechtsgenügliche) Sachverhaltsrüge erhebt, sind ihre von den Feststellungen des vorinstanzlichen Entscheids abweichenden Ausführungen in tatsächlicher Hinsicht unbeachtlich. Der rechtlichen Würdigung des Bundesgerichts ist der von der Vorinstanz festgestellte Inhalt des Vertrages zugrunde zu legen ( Art. 105 Abs. 1 BGG ).</w:t>
      </w:r>
    </w:p>
    <w:p>
      <w:r>
        <w:t>Im Übrigen ist auch nicht erkennbar, inwiefern die Vorinstanz in Willkür verfallen sein sollte. Sie ermittelte einen derartigen Vertragsinhalt nicht nur gestützt auf eine Vereinbarung der Geschwister B.________ hinsichtlich der Aufteilung der Aktien im Verhältnis 40 %/40 %/20 % und ein eigenhändig verfasstes Schreiben von E.B.________ (sel. 2003), wonach zur Erhaltung des Vermögens über Generationen hinweg die Inhaberschaft der Aktien anonymisiert werden müsse, sondern auch unter eingehender Würdigung des Verhaltens der Parteien und weiterer Indizien.</w:t>
      </w:r>
    </w:p>
    <w:p>
      <w:r>
        <w:rPr>
          <w:b/>
        </w:rPr>
        <w:t>E. 2</w:t>
      </w:r>
    </w:p>
    <w:p>
      <w:r>
        <w:t>Die Beschwerdeführerin bestreitet vor Bundesgericht in rechtlicher Hinsicht zu Recht nicht mehr, dass sie insoweit Treuhänderin ist, als sie in eigenem Namen (d.h. in indirekter Stellvertretung), aber im Interesse Dritter, die streitgegenständlichen Aktien hält. Die Beschwerdeführerin rügt einzig, die Vorinstanz habe Art. 1 OR i.V.m. Art. 55 ZGB und Art. 718 Abs. 1 OR verletzt, indem sie den Abschluss eines Treuhandvertrages durch E.B.________ (sel. 2003) als "faktisches Organ" bejaht und ihr sein Wissen angerechnet habe.</w:t>
      </w:r>
    </w:p>
    <w:p>
      <w:r>
        <w:rPr>
          <w:b/>
        </w:rPr>
        <w:t>E. 2.1</w:t>
      </w:r>
    </w:p>
    <w:p>
      <w:r>
        <w:t>Die Beschwerdeführerin geht zwar rechtlich zutreffend davon aus, dass die Rechtsfigur des "faktischen Organs" für rechtsgeschäftliches Handeln der Aktiengesellschaft nicht zu anerkennen ist (vgl. Urteil 4A_455/2018 vom 9. Oktober 2019 E. 6.2, zur Publ. vorgesehen). Indessen übergeht sie, dass sie sich als Aktiengesellschaft für rechtsgeschäftliches Handeln nach den allgemeinen Regeln der Stellvertretung im Sinne von Art. 32 ff. OR vertreten lassen kann und sich in diesem Zusammenhang auch Anscheins- und Duldungsvollmachten entgegenhalten lassen muss (vgl. Urteil 4A_455/2018 vom 9. Oktober 2019 E. 7 mit Hinweisen). Soweit sich herausstellen sollte, dass die Vorinstanz bundesrechtskonform auf einen nach den Bestimmungen der Stellvertretung abgeschlossenen Treuhandvertrag zwischen der Beschwerdeführerin einerseits und den Geschwistern B.________ andererseits erkannte, ist den Rügen der Boden entzogen.</w:t>
      </w:r>
    </w:p>
    <w:p>
      <w:r>
        <w:rPr>
          <w:b/>
        </w:rPr>
        <w:t>E. 2.2</w:t>
      </w:r>
    </w:p>
    <w:p>
      <w:r>
        <w:t>Die Vorinstanz hat zunächst den Mandatsvertrag ausgelegt, den der gegenwärtige Alleinaktionär F.B.________ (als Auftraggeber) mit dem gegenwärtigen einzigen Verwaltungsrat K.J.________ der Beschwerdeführerin (als Beauftragter) am 10. Juni 1999 abgeschlossen hat und der zuvor unbestritten in gleicher Form zwischen E.B.________ (sel. 2003) als Auftraggeber und J.J.________ als Beauftragter bestand. Dieser Mandatsvertrag habe ein Handeln des Auftraggebers für die Beschwerdeführerin nicht nur zugelassen, sondern in Ziffer 6 des Mandatsvertrags ausdrücklich vorgesehen. Nach Ziffer 6 dieses Mandatsvertrags verpflichtete sich der Alleinaktionär als Auftraggeber gegenüber dem einzigen Verwaltungsrat der Beschwerdeführerin, alle notwendigen finanziellen Mittel zur Verfügung zu stellen für die vertragsgemässe Abwicklung der von ihm in Auftrag gegebenen und allenfalls selbst getätigten Geschäfte.</w:t>
      </w:r>
    </w:p>
    <w:p>
      <w:r>
        <w:t>Die Vorinstanz hat sodann berücksichtigt, dass der Gründer und frühere Alleinaktionär der Beschwerdeführerin E.B.________ (sel. 2003) nicht nur die Übertragung der (teilweise seinen Geschwistern gehörenden) B.________-Aktien auf die Beschwerdeführerin "organisierte", sondern seinerseits Treugeber des von ihm beauftragten fiduziarischen Verwaltungsrats der Beschwerdeführerin war, welcher sich gemäss Ziffer 2 des Mandatsvertrags nur mit der formellen Verwaltung zu befassen und gemäss Ziffer 3 das Treuhandmandat nach den Instruktionen und im Interesse des Auftraggebers auszuüben hatte. Unter Verweis auf Urteil 4A_614/2016 vom 3. Juli 2017 E. 6.3.1, worin mangels fristgerechter Beanstandung eine Genehmigung fingiert wurde, schloss die Vorinstanz, die Beschwerdeführerin habe sich das Handeln und Wissen ihres Alleinaktionärs anrechnen zu lassen respektive habe dessen Handlungen jedenfalls genehmigt.</w:t>
      </w:r>
    </w:p>
    <w:p>
      <w:r>
        <w:rPr>
          <w:b/>
        </w:rPr>
        <w:t>E. 2.3.1</w:t>
      </w:r>
    </w:p>
    <w:p>
      <w:r>
        <w:t>Der Beschwerdeführerin kann nicht gefolgt werden, wenn sie die Erwägungen der Vorinstanz so verstehen will, dass E.B.________ (sel. 2003) stellvertretend für sie "in seiner Funktion als faktisches Organ" einen Treuhandvertrag bezüglich der im Dezember 1962 übertragenen B.________-Aktien eingegangen sei. Vielmehr hat die Vorinstanz aus der Stellung der Beschwerdeführerin als Treuhänderin und den Befugnissen, die sie ihrem Gründer und Alleinaktionär für die Besorgung ihrer Geschäfte im Zusammenhang mit dem Treugut einräumte, geschlossen, dass sie ihren Gründer und Alleinaktionär zum rechtsgeschäftlichen Handeln für sie ermächtigte bzw. jedenfalls dessen Rechtsgeschäfte genehmigte. Diese Beurteilung ist im Ergebnis nicht zu beanstanden. Denn die Beschwerdeführerin erwarb im Jahre 1962 unmittelbar nach ihrer Gründung 1'355 Namenaktien der B.________ SpA, wobei die Übertragung der B.________-Aktien durch Anpassung des Aktienbuches der B.________ SpA erfolgte. Es ist denn auch festgestellt, von wem diese Aktien stammten. Dies war nicht nur dem Gründer und Alleinaktionär bekannt, sondern auch der seinerseits treuhänderisch eingesetzte einzige Verwaltungsrat der Beschwerdeführerin musste als deren Organ wissen, von wem die erworbenen Aktien stammten. Wenn die Vorinstanz unter diesen Umständen aus der Art des Erwerbs der Aktien in Zusammenhang mit der Gründung der Beschwerdeführerin selbst und deren Stellung als Treuhänderin schloss, sie habe den Erwerb des Treuguts durch ihren Gründer und Alleinaktionär mindestens genehmigt, hat sie kein Bundesrecht verletzt.</w:t>
      </w:r>
    </w:p>
    <w:p>
      <w:r>
        <w:rPr>
          <w:b/>
        </w:rPr>
        <w:t>E. 2.3.2</w:t>
      </w:r>
    </w:p>
    <w:p>
      <w:r>
        <w:t>Die Argumentation der Beschwerdeführerin geht fehlt, wenn sie die Auffassung vertritt, es sei nicht festgestellt, dass E.B.________ (sel. 2003) ihr eine rechtsgeschäftliche Vollmacht erteilt habe und die Beschwerdeführerin habe "E.B.________ [sel. 2003] im Zusammenhang mit dem Abschluss eines Treuhandvertrags mit dessen Geschwistern weder gewähren lassen" noch habe "der Verwaltungsrat der Beschwerdeführerin E.B.________ [sel. 2003] in seine Entscheidbildung massgeblich (bzw. überhaupt) eingebunden". Die Vorinstanz hat im Gegenteil festgestellt, dass sich der einzige Verwaltungsrat der Beschwerdeführerin aufgrund des Mandatsvertrags auf rein formelle Funktionen beschränkte und im Übrigen auf Weisung und im Interesse ihres Alleinaktionärs und Gründers handelte. Sie hat daraus geschlossen, dass die Beschwerdeführerin dessen Handeln mindestens genehmigte. Dass der Gründer und Alleinaktionär der Beschwerdeführerin die Übertragung der Namenaktien "organisierte" und der einzige Verwaltungsrat der Beschwerdeführerin an dieser Transaktion nicht beteiligt war, ändert daran nichts. Denn dass dem einzigen formellen Verwaltungsrat der Beschwerdeführerin entging oder hätte entgehen dürfen, dass diese als Treugut Namenaktien erwarb, die gerade nicht von ihrem Alleinaktionär und Gründer, sondern von Dritten stammten, ist weder festgestellt noch nachvollziehbar.</w:t>
      </w:r>
    </w:p>
    <w:p>
      <w:r>
        <w:rPr>
          <w:b/>
        </w:rPr>
        <w:t>E. 2.3.3</w:t>
      </w:r>
    </w:p>
    <w:p>
      <w:r>
        <w:t>Soweit die Beschwerdeführerin rügt, die Vorinstanz habe ihr das Handeln ihres Alleinaktionärs als "faktisches Organ" zugerechnet, gehen ihre Rüge nach dem vorstehend Gesagten an den Erwägungen der Vorinstanz vorbei und laufen ins Leere, sofern sie überhaupt hinreichend begründet sind ( Art. 42 Abs. 2 BGG ).</w:t>
      </w:r>
    </w:p>
    <w:p>
      <w:r>
        <w:rPr>
          <w:b/>
        </w:rPr>
        <w:t>E. 2.4</w:t>
      </w:r>
    </w:p>
    <w:p>
      <w:r>
        <w:t>Im Übrigen lässt sich der Beschwerde nicht entnehmen, inwiefern die Vorinstanz den Mandatsvertrag zwischen dem Alleinaktionär und dem einzigen Verwaltungsrat der Beschwerdeführerin rechtsfehlerhaft ausgelegt haben sollte. Soweit sich die Beschwerdeführerin in ihrer Replik nach Ablauf der Beschwerdefrist und damit verspätet zur entsprechenden Erwägung des angefochtenen Entscheids äussert, kann sie nicht gehört werden.</w:t>
      </w:r>
    </w:p>
    <w:p>
      <w:r>
        <w:t>Wie bereits eingangs angedeutet (vgl. dazu vorstehend E. 1.4), beruft sich die Beschwerdeführerin schliesslich in unzulässiger Weise auf die Wiedergabe ihrer eigenen Vorbringen, wenn sie dem angefochtenen Entscheid die Feststellung entnehmen will, sie habe die umstrittenen Aktien treuhänderisch ausschliesslich für ihren Alleinaktionär gehalten. Die Vorinstanz hat aus diesem Vorbringen der Beschwerdeführerin denn auch nur abgeleitet, dass diese nunmehr das Vorliegen eines Treuhandvertrags nicht mehr bestreite.</w:t>
      </w:r>
    </w:p>
    <w:p>
      <w:r>
        <w:rPr>
          <w:b/>
        </w:rPr>
        <w:t>E. 2.5</w:t>
      </w:r>
    </w:p>
    <w:p>
      <w:r>
        <w:t>Schliesslich bringt die Beschwerdeführerin nichts gegen das Verhältnis der gehaltenen Aktien vor respektive zeigt sie nicht hinreichend konkret auf, inwiefern die Vorinstanz Recht verletzt haben könnte, indem sie davon ausging, dass die ursprüngliche Aufteilung der Aktien zwischen den Geschwistern B.________ zu 40 %/40 %/20 % beibehalten wurde. Damit bleibt es auch in quantitativer Hinsicht bei dem von der Vorinstanz ermittelten Verhältnis, wonach den Beschwerdegegnern als Alleinerben ihrer Grossmutter B.B.________ (sel. 2016) ein Anteil von 60 % bzw. 785'158 Aktien zusteht, da ihre Grossmutter, welche ursprünglich über 20 % der Aktien verfügte, ihrerseits den Anteil von 40 % von ihrem Bruder I.B.________ (sel. 2006) geerbt hatte.</w:t>
      </w:r>
    </w:p>
    <w:p>
      <w:r>
        <w:rPr>
          <w:b/>
        </w:rPr>
        <w:t>E. 3</w:t>
      </w:r>
    </w:p>
    <w:p>
      <w:r>
        <w:t>Die Beschwerde erweist sich als unbegründet, soweit darauf einzutreten ist. Die Gerichtskosten sind dem Ausgang des Verfahrens entsprechend der unterliegenden Beschwerdeführerin aufzuerlegen ( Art. 66 Abs. 1 BGG ) Die Beschwerdeführerin hat die Beschwerdegegner, die sich gemeinsam mit ihrer anwaltlich verfassten Beschwerdeantwort vernehmen liessen, ausserdem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