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4A_323/2013 vom 29. November 2013</w:t>
      </w:r>
    </w:p>
    <w:p>
      <w:r>
        <w:t>Bundesgericht, 2013-11-29, FR</w:t>
      </w:r>
    </w:p>
    <w:p>
      <w:r>
        <w:rPr>
          <w:b/>
        </w:rPr>
        <w:t xml:space="preserve">Quelle: </w:t>
      </w:r>
      <w:r>
        <w:t>https://mcp.opencaselaw.ch/entscheid/bger_4A_323_2013</w:t>
      </w:r>
    </w:p>
    <w:p>
      <w:r>
        <w:t>FR: TF 4A_323/2013 du 29 novembre 2013</w:t>
      </w:r>
    </w:p>
    <w:p>
      <w:r>
        <w:t>IT: TF 4A_323/2013 del 29 novembre 2013</w:t>
      </w:r>
    </w:p>
    <w:p>
      <w:pPr>
        <w:pStyle w:val="Heading2"/>
      </w:pPr>
      <w:r>
        <w:t>Erwägungen</w:t>
      </w:r>
    </w:p>
    <w:p>
      <w:r>
        <w:rPr>
          <w:b/>
        </w:rPr>
        <w:t>E. 1</w:t>
      </w:r>
    </w:p>
    <w:p>
      <w:r>
        <w:t>Le Tribunal fédéral examine d'office et librement sa compétence ( art. 29 al. 1 LTF ), respectivement la recevabilité des recours qui sont déposés devant lui ( ATF 139 V 42 consid. 1 p. 44; 139 III 252 consid. 1.1).</w:t>
      </w:r>
    </w:p>
    <w:p>
      <w:r>
        <w:rPr>
          <w:b/>
        </w:rPr>
        <w:t>E. 1.1</w:t>
      </w:r>
    </w:p>
    <w:p>
      <w:r>
        <w:t>L'arrêt attaqué, par lequel l'exception d'incompétence soulevée par la recourante a été rejetée, est une décision incidente rendue en matière civile ( art. 72 al. 1 LTF ), prise par un tribunal supérieur statuant sur recours en dernière instance cantonale ( art. 75 LTF ), qui porte sur la compétence, laquelle peut donc faire l'objet d'un recours en matière civile ( art. 92 al. 1 LTF ), vu notamment la valeur litigieuse à prendre en compte ( art. 51 al. 1 let . c et 74 al. 1 let. b LTF). Comme les autres conditions de recevabilité sont remplies - sous réserve d'une motivation insuffisante des griefs formulés (art. 42 al. 2 et 106 al. 2 LTF) -, il se justifie d'entrer en matière sur le recours.</w:t>
      </w:r>
    </w:p>
    <w:p>
      <w:r>
        <w:rPr>
          <w:b/>
        </w:rPr>
        <w:t>E. 1.2</w:t>
      </w:r>
    </w:p>
    <w:p>
      <w:r>
        <w:t>Le recours en matière civile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Dans son premier moyen, la recourante, invoquant l' art. 97 LTF , se plaint de la constatation manifestement incomplète des faits. Elle reproche à l'autorité cantonale de n'avoir indiqué, dans la partie « fait » de son arrêt, qu'un résumé succinct de la procédure, alors que l'affaire à juger n'était pas aisée et impliquait nécessairement des constatations de fait complètes, notamment concernant la teneur des clauses contractuelles contenant les élections de for litigieuses. Et l'arrêt critiqué ne ferait pas référence à l'état de fait retenu par les premiers juges.</w:t>
      </w:r>
    </w:p>
    <w:p>
      <w:r>
        <w:t>Il est vrai que la partie de l'arrêt cantonal intitulée « considérant en fait » ne rappelle que les faits de procédure en une page et demie. Mais des constatations de fait, en particulier sur le contenu des clauses contractuelles adoptées par les parties, figurent dans la partie « en droit » de l'arrêt. Afin de pouvoir statuer sur le différend, le Tribunal fédéral a néanmoins complété d'office ces faits sur la base du dossier en application de l' art. 105 al. 2 LTF , singulièrement à partir des faits constatés par le tribunal d'arrondissement dans sa décision du 6 août 2012. Le grief de la recourante a donc perdu son objet.</w:t>
      </w:r>
    </w:p>
    <w:p>
      <w:r>
        <w:rPr>
          <w:b/>
        </w:rPr>
        <w:t>E. 3</w:t>
      </w:r>
    </w:p>
    <w:p>
      <w:r>
        <w:t>A l'appui de son second moyen, la recourante soutient que la cour cantonale a enfreint les art. 1 et 18 CO en retenant que le contrat du 12 août 1998 était un contrat-cadre, dont la clause d'élection de for s'appliquait aux contrats de prêt des 3 juillet et 1er août 1998. Elle fait valoir que la convention du 12 août 1998 n'avait pas le même objet que les deux contrats de prêt, que ces contrats devaient être exécutés par des parties différentes puisque V.________ n'était pas partie aux deux contrats de prêt et que le contrat du 3 juillet 1998 contenait un for prorogé exclusif à Tbilissi ou à Genève, de sorte que la Cour d'appel aurait dû déclarer en tout état irrecevables les prétentions de l'intimée fondées sur cet accord. A suivre la recourante, en vertu de l' art. 113 LDIP , s'agissant tant de la conclusion en remboursement du prêt du 1er août 1998 que des autres prétentions en restitution de sommes d'argent formées par l'intimée, «formalisées dans aucun contrat », le for serait celui du lieu d'exécution des prétentions litigieuses, lequel correspondrait au lieu où le créancier est domicilié à l'époque des paiements, soit Genève. Les tribunaux genevois seraient ainsi compétents ratione loci, et non ceux de Fribourg. La recourante prétend enfin qu'il faudrait inférer des circonstances que les plaideurs, lorsqu'ils se sont liés contractuellement, avaient l'intention de soumettre leur différend au tribunal du siège de l'intimée, lequel est désormais à Genève, afin de prendre en compte que celle-ci pourrait transférer son siège dans un autre canton après 1998.</w:t>
      </w:r>
    </w:p>
    <w:p>
      <w:r>
        <w:rPr>
          <w:b/>
        </w:rPr>
        <w:t>E. 4</w:t>
      </w:r>
    </w:p>
    <w:p>
      <w:r>
        <w:t>Il sied liminairement de contrôler la validité de la clause attributive de juridiction qui figure à l'art. 8.3 du contrat du 12 août 1998.</w:t>
      </w:r>
    </w:p>
    <w:p>
      <w:r>
        <w:rPr>
          <w:b/>
        </w:rPr>
        <w:t>E. 4.1</w:t>
      </w:r>
    </w:p>
    <w:p>
      <w:r>
        <w:t>Lorsque l'intimée a déposé sa demande en paiement devant les tribunaux fribourgeois le 31 décembre 2010, la loi fédérale du 24 mars 2000 sur les fors en matière civile (aLFors), en vigueur depuis le 1er janvier 2001, n'avait pas encore été abolie, puisque son abrogation est survenue avec l'entrée en vigueur du Code de procédure civile suisse du 19 décembre 2008 (CPC; RS 272), le 1er janvier 2011 (cf. art. 402 CPC et le chiffre I de l'annexe 1 du CPC).</w:t>
      </w:r>
    </w:p>
    <w:p>
      <w:r>
        <w:t>Mais cette ancienne loi fédérale n'était de toute manière pas applicable au présent litige. Sans même se pencher sur la question du droit intertemporel (cf. art. 39 aLFors), la loi en question, qui régissait la compétence à raison du lieu en matière civile, ne s'appliquait pas lorsque le litige était de nature internationale (art. 1 al. 1 aLFors a contrario). Or, la querelle a manifestement un caractère international puisqu'elle oppose une société ayant son siège en Suisse à une société dont le siège se trouve dans la capitale de la Géorgie ( ATF 131 III 76 consid. 2).</w:t>
      </w:r>
    </w:p>
    <w:p>
      <w:r>
        <w:rPr>
          <w:b/>
        </w:rPr>
        <w:t>E. 4.2</w:t>
      </w:r>
    </w:p>
    <w:p>
      <w:r>
        <w:t>Cela posé, il faut ensuite se demander si la Convention de Lugano du 16 septembre 1988 concernant la compétence judiciaire et l'exécution des décisions en matière civile et commerciale, entrée en vigueur pour la Suisse le 1er janvier 1992 (ci-après: Convention de 1988 ou aCL) était applicable in casu. En effet, seule cette ancienne convention entre en considération, puisque, lors du dépôt de la demande (i. e. le 31 décembre 2010), la Convention de Lugano du 30 octobre 2007 (RS 0.275.12) n'était pas encore en vigueur pour la Suisse (RO 2010 5657).</w:t>
      </w:r>
    </w:p>
    <w:p>
      <w:r>
        <w:t>Les règles de compétence de la Convention de 1988 l'emportaient sur les règles de compétence nationale ( ATF 124 III 134 consid. 2b aa/bbb p. 139). Les dispositions de ce traité international avaient ainsi le pas sur celles du droit international privé suisse, soit celles de la LDIP, mais dans leur teneur avant le 1er janvier 2011 à considérer la date susrappelée de l'introduction de la demande (cf. art. 196 al. 1 LDIP ).</w:t>
      </w:r>
    </w:p>
    <w:p>
      <w:r>
        <w:t>L'art. 17 al. 1 in initio aCL, qui a trait à l'élection de for, s'applique si les parties, dont l'une au moins a son domicile sur le territoire d'un Etat contractant, sont convenues d'un tribunal ou de tribunaux d'un Etat contractant pour connaître de manière exclusive des différends nés ou à naître à l'occasion d'un rapport de droit déterminé (cf. ATF 131 III 398 consid. 6 p. 400).</w:t>
      </w:r>
    </w:p>
    <w:p>
      <w:r>
        <w:t>En l'espèce, la partie demanderesse a son siège en Suisse, qui était signataire de la Convention de 1988. Le tribunal élu se trouve à Fribourg, donc en Suisse sur le territoire d'un Etat contractant. Mais la défenderesse a son siège en Géorgie, Etat qui n'était pas partie à la Convention de 1988.</w:t>
      </w:r>
    </w:p>
    <w:p>
      <w:r>
        <w:t>La jurisprudence a laissé indécise la question délicate de savoir si l'art. 17 aCL peut trouver application dans l'hypothèse (qui est celle de la présente espèce) où seule une partie est domiciliée sur le territoire de l'Etat contractant dans lequel se trouve également le tribunal élu, alors que l'autre partie a son domicile dans un Etat qui n'est pas signataire de l'aCL ( ATF 119 II 391 consid. 2 p. 393). La question fait l'objet de vives controverses (cf. à ce propos entre autres auteurs: YVES DONZALLAZ, La Convention de Lugano du 16 septembre 1988, vol. III, 1998, n° 6736 p. 1016/1017; JAN KROPHOLLER, Europäisches Zivilprozessrecht, 6e éd. 1998, n</w:t>
      </w:r>
    </w:p>
    <w:p>
      <w:r>
        <w:t>°s 4-10 ad 17 aCL; LAURENT KILLIAS, Die Gerichtsstandsvereinbarungen nach dem Lugano-Übereinkommen, 1993, p. 65 à 67).</w:t>
      </w:r>
    </w:p>
    <w:p>
      <w:r>
        <w:t>On peut se dispenser de trancher cette dispute. D'une part, la clause attributive de juridiction insérée dans le contrat du 12 août 1998 entre, comme on le verra, dans le champ d'application matériel tant de la Convention de 1988 que de l' art. 5 al. 1 LDIP , qui est la norme du droit suisse fixant la compétence internationale en cas d'élection de for si aucun traité international n'est applicable (cf. consid. 4.3.1 et 4.3.2 infra). La clause susmentionnée répond aussi aux conditions de forme (cf. consid. 4.3.3 ci-dessous) et de fond (cf. consid. 4.3.4 et 4.3.5 ci-dessous) posées et par les art. 17 al. 1 aCL et 5 al. 1 LDIP.</w:t>
      </w:r>
    </w:p>
    <w:p>
      <w:r>
        <w:rPr>
          <w:b/>
        </w:rPr>
        <w:t>E. 4.3</w:t>
      </w:r>
    </w:p>
    <w:p>
      <w:r>
        <w:t>L'analyse commande tout d'abord de rappeler la teneur de l' art. 5 al. 1 LDIP , laquelle est restée identique après le 1er janvier 2011: « En matière patrimoniale, les parties peuvent convenir du tribunal appelé à trancher un différend né ou à naître à l'occasion d'un rapport de droit déterminé. La convention peut être passée par écrit, télégramme, télex, télécopieur ou tout autre moyen de communication qui permet d'en établir la preuve par un texte. Sauf stipulation contraire, l'élection de for est exclusive ».</w:t>
      </w:r>
    </w:p>
    <w:p>
      <w:r>
        <w:rPr>
          <w:b/>
        </w:rPr>
        <w:t>E. 4.3.1</w:t>
      </w:r>
    </w:p>
    <w:p>
      <w:r>
        <w:t>Le domaine de validité matériel de la Convention de 1988 recouvre la matière civile et commerciale (art. 1 al. 1 aCL), par quoi il faut entendre les décisions rendues dans des affaires patrimoniales, soit en particulier dans le domaine contractuel ( DONZALLAZ, op. cit., vol. I, n° 803 p. 330 s., qui se réfère à PAOLO MICHELE PATOCCHI, La reconnaissance et l'exécution des jugements étrangers selon la Convention de Lugano du 16 septembre 1988, in: L'espace judiciaire européen, Lausanne 1992, p.109).</w:t>
      </w:r>
    </w:p>
    <w:p>
      <w:r>
        <w:t>L' art. 5 al. 1 LDIP se réfère à la notion plus large de « matière patrimoniale », laquelle inclut bien évidemment le droit des obligations ( ANDREAS BUCHER, Loi sur le droit international privé/Convention de Lugano, Commentaire romand, 2011, n</w:t>
      </w:r>
    </w:p>
    <w:p>
      <w:r>
        <w:t>°s 6/7 ad art. 5 LDIP ).</w:t>
      </w:r>
    </w:p>
    <w:p>
      <w:r>
        <w:t>En l'espèce, il n'est pas douteux que l'élection de for litigieuse, qui a trait aux prétentions découlant de la passation d'un « contrat de financement et de partenariat » par lequel l'intimée s'est engagée à financer la recourante pour le montant total de 3'000'000 US$ contre l'échange d'une partie des actions de cette dernière, a bien un caractère patrimonial dans les deux sens susrappelés.</w:t>
      </w:r>
    </w:p>
    <w:p>
      <w:r>
        <w:rPr>
          <w:b/>
        </w:rPr>
        <w:t>E. 4.3.2</w:t>
      </w:r>
    </w:p>
    <w:p>
      <w:r>
        <w:t>D'après l'art. 17 al. 3 aCL, les conventions attributives de juridiction sont sans effet si elles dérogent aux règles de compétence impératives des art. 12 aCL (concernant la compétence en matière d'assurances) et 15 aCL (afférent à la compétence en matière de contrats conclus par les consommateurs) ou exclusives de l'art. 16 aCL (en ce qui a trait à la compétence en matière immobilière (ch. 1), en matière de validité, nullité ou dissolution de sociétés ou personnes morales (ch. 2), en matière d'inscription sur les registres publics (ch. 3), en matière de droits de propriété intellectuelle (ch. 4) et en matière d'exécution des décisions (ch. 5) ).</w:t>
      </w:r>
    </w:p>
    <w:p>
      <w:r>
        <w:t>Au regard de la LDIP, l'élection de for est sans effet chaque fois qu'elle entre en conflit avec une disposition de ladite loi qui retient une compétence impérative. C'est le cas notamment du for au lieu de situation d'un immeuble sis en Suisse pour l'action en droits réels ( art. 97 LDIP ) et du for en matière de validité de droits suisses de propriété intellectuelle ( art. 109 al. 1 et 2 LDIP ) ( BUCHER, op. cit., n</w:t>
      </w:r>
    </w:p>
    <w:p>
      <w:r>
        <w:t>°s 8/9 ad art. 5 LDIP ).</w:t>
      </w:r>
    </w:p>
    <w:p>
      <w:r>
        <w:t>Il n'y a aucun for impératif - sous l'angle de l'aCL et de la LDIP - en matière de contrats de prêt de consommation à une société commerciale et d'accords prévoyant la remise d'actions en remboursement des sommes empruntées. Une prorogation de for est ainsi admissible en cette matière à la lumière dudit traité ainsi que du droit suisse ( art. 5 LDIP ).</w:t>
      </w:r>
    </w:p>
    <w:p>
      <w:r>
        <w:rPr>
          <w:b/>
        </w:rPr>
        <w:t>E. 4.3.3</w:t>
      </w:r>
    </w:p>
    <w:p>
      <w:r>
        <w:t>Selon l'art. 17 al. 1 let. a aCL, la convention attributive de juridiction doit être conclue par écrit. Les parties doivent ainsi avoir consigné leurs déclarations de volonté réciproques dans un ou plusieurs titres, l'apposition d'une signature n'étant pas exigée (arrêt 4A_272/2007 du 21 novembre 2007 consid. 5.1, non publié in ATF 134 III 80 ; DONZALLAZ, op. cit., vol. III, n° 6890 p. 1077 s.; KILLIAS, op. cit., p. 156 s.).</w:t>
      </w:r>
    </w:p>
    <w:p>
      <w:r>
        <w:t>En droit international privé suisse, la clause d'élection de for doit être passée « par écrit » (art. 5 al. 1, 2e phrase, LDIP). Le choix du for n'a pas nécessairement à figurer sur un document contenant une écriture, du moment qu'un support informatique peut suffire si l'on peut en faire une reproduction écrite sous forme d'un texte; la clause ne doit pas non plus être complétée par une signature ( BUCHER, op. cit., n</w:t>
      </w:r>
    </w:p>
    <w:p>
      <w:r>
        <w:t>°s 11-13 ad art. 5 LDIP ).</w:t>
      </w:r>
    </w:p>
    <w:p>
      <w:r>
        <w:t>En l'occurrence, l'élection de for se trouve à l'art. 8.3 du contrat du 12 août 1998. Elle satisfait pleinement aux exigences formelles déduites des art. 17 al. 1 aCL et 5 al. 1 LDIP.</w:t>
      </w:r>
    </w:p>
    <w:p>
      <w:r>
        <w:rPr>
          <w:b/>
        </w:rPr>
        <w:t>E. 4.3.4</w:t>
      </w:r>
    </w:p>
    <w:p>
      <w:r>
        <w:t>A l'aune de la Convention de 1988, la convention attributive de juridiction se conclut par un échange de manifestations de volonté concordantes ( DONZALLAZ, op. cit., vol. III, n° 6519, p. 932), dont la prise en considération s'examine en principe de manière autonome ( KROPHOLLER, op. cit., n° 21 ad art. 17 aCL; DONZALLAZ, op. cit., vol. III, n</w:t>
      </w:r>
    </w:p>
    <w:p>
      <w:r>
        <w:t>°s 6519 p. 932 et 6581 p. 952 s.; cf. par ex. arrêt de la Cour de justice des Communautés européennes (CJCE) du 20 février 1997 C-106/95</w:t>
      </w:r>
    </w:p>
    <w:p>
      <w:r>
        <w:t>Mainschiffahrts-Genossenschaft eG (MSG) contre Les Gravières Rhénanes SARL , Rec. 1997 I-00911 § 15).</w:t>
      </w:r>
    </w:p>
    <w:p>
      <w:r>
        <w:t>En droit international privé suisse, l'échange de déclarations de volonté concordantes crée le contenu matériel d'une convention d'élection de for ( ATF 122 III 439 consid. 3c p. 443).</w:t>
      </w:r>
    </w:p>
    <w:p>
      <w:r>
        <w:t>En l'espèce, il a été retenu en fait ( art. 105 al. 1 LTF ) que les parties avaient la volonté commune de conclure une clause d'élection de for en faveur des tribunaux fribourgeois. Le consentement des plaideurs pour l'adoption de la clause litigieuse est donc établi, que ce soit au regard de la convention de 1988 ou de la LDIP.</w:t>
      </w:r>
    </w:p>
    <w:p>
      <w:r>
        <w:rPr>
          <w:b/>
        </w:rPr>
        <w:t>E. 4.3.5</w:t>
      </w:r>
    </w:p>
    <w:p>
      <w:r>
        <w:t>L'art. 17 al. 1 aCL exige que la convention d'attribution de juridiction se rapporte à des différends nés ou à naître à l'occasion d'un rapport de droit déterminé. Le rapport juridique concerné par la clause doit être déterminable eu égard à sa nature et à son objet ( DONZALLAZ, op. cit., vol III, n° 6657 p. 984; KILLIAS, op. cit., p. 104 s.).</w:t>
      </w:r>
    </w:p>
    <w:p>
      <w:r>
        <w:t>L' art. 5 al. 1 LDIP reprend expressément cette même condition de fond.</w:t>
      </w:r>
    </w:p>
    <w:p>
      <w:r>
        <w:t>Dans le cas présent, la clause d'élection de for fait l'objet de l'art. 8.3 du contrat du 12 août 1998. Il n'y a aucun doute qu'elle concerne tous les litiges qui pourraient naître à la suite de la remise par l'intimée à la recourante de la somme totale de 3'000'000 US$ sur cinq ans contre un éventuel échange d'actions de celle-ci (cf. préambule de la convention et son art. 2.1).</w:t>
      </w:r>
    </w:p>
    <w:p>
      <w:r>
        <w:t>L'exigence tenant à ce que la clause attributive de juridiction vise un rapport de droit déterminé est respectée sous l'angle de l'aCL et de la LDIP.</w:t>
      </w:r>
    </w:p>
    <w:p>
      <w:r>
        <w:rPr>
          <w:b/>
        </w:rPr>
        <w:t>E. 4.4</w:t>
      </w:r>
    </w:p>
    <w:p>
      <w:r>
        <w:t>La prorogation de juridiction instituée par l'art. 17 aCL est présumée exclusive ( ATF 131 III 398 consid. 6 p. 400; DONZALLAZ, op. cit., vol. III, n° 6439 p. 897 s.).</w:t>
      </w:r>
    </w:p>
    <w:p>
      <w:r>
        <w:t>A teneur de l'art. 5 al. 1, 3e phrase, LDIP, « sauf stipulation contraire, l'élection de for est exclusive ».</w:t>
      </w:r>
    </w:p>
    <w:p>
      <w:r>
        <w:t>Les parties n'ont jamais soutenu que, hormis l'élection de for litigieuse, elles entendaient convenir d'une pluralité de fors dans le cadre des rapports de droit découlant du contrat du 12 août 1998. Partant, il sied de s'en tenir à l'exclusivité de la prorogation de for, présumée et par la Convention de 1988 et par la LDIP.</w:t>
      </w:r>
    </w:p>
    <w:p>
      <w:r>
        <w:rPr>
          <w:b/>
        </w:rPr>
        <w:t>E. 4.5</w:t>
      </w:r>
    </w:p>
    <w:p>
      <w:r>
        <w:t>Arrivé à ce stade du raisonnement, il faut retenir la validité de la clause exclusive d'élection de for contenue dans le contrat du 12 août 1998.</w:t>
      </w:r>
    </w:p>
    <w:p>
      <w:r>
        <w:rPr>
          <w:b/>
        </w:rPr>
        <w:t>E. 5</w:t>
      </w:r>
    </w:p>
    <w:p>
      <w:r>
        <w:t>Selon les constatations de fait déterminantes, en moins de six semaines au cours de l'été 1998 (du 3 juillet au 12 août 1998), la recourante et l'intimée ont été parties à trois contrats différents. Dans ces circonstances, il y a lieu de se demander si elles ont entendu lier entre eux ces contrats, à telle enseigne qu'ils formeraient une unité juridique et économique indissociable, caractéristique d'un contrat unique mais complexe.</w:t>
      </w:r>
    </w:p>
    <w:p>
      <w:r>
        <w:rPr>
          <w:b/>
        </w:rPr>
        <w:t>E. 5.1</w:t>
      </w:r>
    </w:p>
    <w:p>
      <w:r>
        <w:t>Cet examen doit se faire au regard du droit suisse.</w:t>
      </w:r>
    </w:p>
    <w:p>
      <w:r>
        <w:t>En effet, le contrat de prêt du 3 juillet 1998, ainsi que le contrat du 12 août 1998, contiennent une élection expresse de droit en faveur du droit suisse ( art. 116 al. 1 et 2 LDIP ).</w:t>
      </w:r>
    </w:p>
    <w:p>
      <w:r>
        <w:t>S'agissant de l'accord du 1er août 1998, qui doit se qualifier selon la loi du for comme un contrat de prêt ( ATF 133 III 37 consid. 2; 132 III 609 consid. 4), point qui ne fait l'objet d'aucune discussion, le rattachement doit s'opérer au lieu où le prêteur a sa résidence habituelle ou, si le contrat est conclu dans l'exercice d'une activité professionnelle ou commerciale, son établissement ( art. 117 al. 3 let. b LDIP ; SCHÄRER/MAURENBRECHER, in Basler Kommentar, Obligationenrecht, vol. I, 5e éd. 2011, n° 50 ad art. 312 CO ). Le prêteur (i.e. l'intimée) avait son domicile à Fribourg lors de la signature dudit contrat et à Genève lors de l'ouverture d'action. Il est indubitable que le droit suisse est également applicable au contrat du 1er août 1998.</w:t>
      </w:r>
    </w:p>
    <w:p>
      <w:r>
        <w:rPr>
          <w:b/>
        </w:rPr>
        <w:t>E. 5.2</w:t>
      </w:r>
    </w:p>
    <w:p>
      <w:r>
        <w:t>Il est question de contrat complexe, connexe ou couplé lorsque les parties ont conclu plusieurs contrats objectivement distincts, mais dépendants entre eux au point qu'ils ne sauraient être dissociés ( ATF 131 III 528 consid. 7.1.1 p. 531 s. et l'arrêt cité).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 ATF 131 III 528 consid. 7.1.1. p. 531 s.). Autrement dit, les différentes questions à résoudre doivent être régies par les normes légales ou les principes juridiques qui sont adaptés à chacune d'elles;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 ATF 131 III 528 consid. 7.1.1 ibidem; 118 II 157 consid. 3).</w:t>
      </w:r>
    </w:p>
    <w:p>
      <w:r>
        <w:t>In casu, il appert que les deux contrats de prêt et le contrat du 12 août 1998 sont interdépendants.</w:t>
      </w:r>
    </w:p>
    <w:p>
      <w:r>
        <w:t>Il est à cet égard déterminant de relever, ainsi que l'a fait la cour cantonale au considérant 3c de l'arrêt déféré, p. 6, qu'il a été établi que le contrat du 12 août 1998 a été négocié en même temps que les contrats de prêt passés les 3 juillet et 1er août 1998. C'est la raison pour laquelle il a été prévu que le « contrat de financement et de partenariat » rétroagisse au 1er juillet 1998, soit deux jours avant la conclusion du premier contrat de prêt. Si ces trois contrats ont fait l'objet de négociations simultanées, c'est bien parce que, dans l'esprit des parties, il y avait une relation de dépendance économique étroite entre eux. Du reste, tant le contrat du 3 juillet 1998, à ses art. 2, 2e par., et 5, 2e par., que le contrat du 1er août 1998, à son art. 6, 3e par., se réfèrent au « contrat de financement » ou au « contrat du 12 août 1998 », ce qui démontre avec éclat, si besoin était, l'interdépendance des trois contrats.</w:t>
      </w:r>
    </w:p>
    <w:p>
      <w:r>
        <w:t>Il importe peu que l'actionnaire majoritaire de la recourante ne soit signataire que de la convention du 12 août 1998, dès lors qu'il est stipulé expressis verbis par celle-ci que l'actionnaire précité agit pour le compte de la recourante.</w:t>
      </w:r>
    </w:p>
    <w:p>
      <w:r>
        <w:rPr>
          <w:b/>
        </w:rPr>
        <w:t>E. 5.3</w:t>
      </w:r>
    </w:p>
    <w:p>
      <w:r>
        <w:t>La cour cantonale, suivant en cela l'opinion des premiers juges, a admis que les parties, en concluant le contrat du 12 août 1998, avaient pour volonté commune de passer un contrat-cadre régissant l'ensemble de leurs relations contractuelles.</w:t>
      </w:r>
    </w:p>
    <w:p>
      <w:r>
        <w:t>De fait, les deux contrats de prêt constituent l'auxiliaire nécessaire du contrat du 12 août 1998 qu'ils servent à exécuter. Interprété objectivement (cf. ATF 135 III 410 consid. 3.2 p. 412 s.), l'art. 7.1 du contrat de financement, qui fait rétroagir son entrée en vigueur au 1er juillet 1998, soit avant même la conclusion des deux contrats de prêt, montre que les parties avaient la volonté de donner un cadre juridique aux relations contractuelles qu'elles entendaient nouer par la suite. Si tel n'était pas le cas, on ne parvient pas à s'expliquer la raison de l'adoption d'une telle clause. De même, l'imputation des montants déjà versés à la recourante par l'intimée sur la somme de 3'000'000 US$ que celle-ci s'obligeait à payer sur cinq ans à la première, figurant à l'art. 2.1 du contrat du 12 août 1998, établit que cet accord prévoyait la conclusion de contrats ultérieurs, en vertu desquels le reste des fonds seraient remis à la recourante. Il est sans importance que les parties aient par la suite renoncé à conclure les conventions spécifiques prévues par l'art. 3.2 dudit contrat.</w:t>
      </w:r>
    </w:p>
    <w:p>
      <w:r>
        <w:t>Il faut en conséquence retenir que l'accord du 12 août 1998 constitue un contrat-cadre de financement, que la conclusion des deux contrats de prêt entrait dans l'accomplissement de l'exécution du contrat-cadre, ainsi, du reste, que l'ensemble des versements que l'intimée soutient avoir effectués au profit de la recourante sans que des accords écrits aient été passés.</w:t>
      </w:r>
    </w:p>
    <w:p>
      <w:r>
        <w:rPr>
          <w:b/>
        </w:rPr>
        <w:t>E. 5.4</w:t>
      </w:r>
    </w:p>
    <w:p>
      <w:r>
        <w:t>Le contrat-cadre du 12 août 1998 institue un for prorogé à Fribourg. Cette élection de for s'oppose à celle figurant dans le contrat de prêt du 3 juillet 1998, qui prévoit le for au domicile de l'emprunteur, soit à Tbilissi (Géorgie). Sans qu'il y ait lieu de se pencher sur la validité de cette élection de for, il faut en l'occurrence faire usage de la théorie de l'absorption, qui veut qu'un régime contractuel l'emporte sur celui des autres (cf. sur cette théorie: THÉVENOZ/DE WERRA, in Commentaire romand, Code des obligations, vol. I, 2e éd. 2012, n° 19 ad Intro. art. 184-529 CO ; AMSTUTZ ET AL., in Basler Kommentar, op. cit, n° 17 ad Einl. vor Art. 184 ss CO ). Il apparaît en effet que la démarche consistant à déterminer la juridiction compétente pour examiner le mérite d'une action reposant sur l'exécution d'un contrat complexe impose par principe de privilégier l'un de ses éléments par rapport aux autres (cf. ATF 131 III 528 consid. 7.1.1 p. 531 s.; THÉVENOZ/DE WERRA, op. cit., n° 27 ad Intro. art. 184-529 CO ). La théorie de l'absorption assure de surcroît dans ce cas particulier la prévisibilité du droit.</w:t>
      </w:r>
    </w:p>
    <w:p>
      <w:r>
        <w:t>Or le contrat qui doit être considéré comme le centre de gravité du contrat complexe conclu par les parties est manifestement le contrat-cadre du 12 août 1998, dont l'art. 8.3 institue un for prorogé à Fribourg.</w:t>
      </w:r>
    </w:p>
    <w:p>
      <w:r>
        <w:t>Au vu de ce qui précède, la compétence à raison du lieu des tribunaux fribourgeois, qui résulte de la clause d'élection de for insérée dans ledit contrat, doit être confirmée, le déclinatoire de la recourante devant être rejeté et la demande en paiement du 31 décembre 2010 devant être déclarée recevable.</w:t>
      </w:r>
    </w:p>
    <w:p>
      <w:r>
        <w:rPr>
          <w:b/>
        </w:rPr>
        <w:t>E. 6</w:t>
      </w:r>
    </w:p>
    <w:p>
      <w:r>
        <w:t>En résumé, il se justifie de rejeter le recours, par des motifs substitués.</w:t>
      </w:r>
    </w:p>
    <w:p>
      <w:r>
        <w:t>Vu l'issue du différend, la recourante, qui succombe, paiera les frais judiciaires et versera une indemnité à titre de dépens à l'intimée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