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4A_322/2014 vom 28. November 2014</w:t>
      </w:r>
    </w:p>
    <w:p>
      <w:r>
        <w:t>Bundesgericht, 2014-11-28, FR</w:t>
      </w:r>
    </w:p>
    <w:p>
      <w:r>
        <w:rPr>
          <w:b/>
        </w:rPr>
        <w:t xml:space="preserve">Quelle: </w:t>
      </w:r>
      <w:r>
        <w:t>https://mcp.opencaselaw.ch/entscheid/bger_4A_322_2014</w:t>
      </w:r>
    </w:p>
    <w:p>
      <w:r>
        <w:t>FR: TF 4A_322/2014 du 28 novembre 2014</w:t>
      </w:r>
    </w:p>
    <w:p>
      <w:r>
        <w:t>IT: TF 4A_322/2014 del 28 novembre 2014</w:t>
      </w:r>
    </w:p>
    <w:p>
      <w:pPr>
        <w:pStyle w:val="Heading2"/>
      </w:pPr>
      <w:r>
        <w:t>Erwägungen</w:t>
      </w:r>
    </w:p>
    <w:p>
      <w:r>
        <w:rPr>
          <w:b/>
        </w:rPr>
        <w:t>E. 1.1</w:t>
      </w:r>
    </w:p>
    <w:p>
      <w:r>
        <w:t>Interjeté par la partie défenderesse qui a entièrement succombé dans ses conclusions reconventionnelles et qui a ainsi la qualité pour recourir ( art. 76 al. 1 LTF ), dirigé contre un arrêt final ( art. 90 LTF ) rendu en matière civile ( art. 72 al. 1 LTF ) par un tribunal supérieur statuant sur recours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Le recourant prétend que les faits ont été établis de manière inexacte ( art. 97 al. 1 LTF ). Il affirme que la cour cantonale est tombée dans l'arbitraire en « oubliant » 300'000 fr. d'honoraires facturés.</w:t>
      </w:r>
    </w:p>
    <w:p>
      <w:r>
        <w:t>La motivation du grief n'a rien à voir avec une démonstration d'arbitraire dans la constatation des faits. Le recourant ne se réfère à aucun élément de preuve, précisément désigné, pour appuyer sa critique d'appréciation insoutenable des moyens de preuve administrés. Le moyen est irrecevable ( art. 106 al. 2 LTF ).</w:t>
      </w:r>
    </w:p>
    <w:p>
      <w:r>
        <w:rPr>
          <w:b/>
        </w:rPr>
        <w:t>E. 3</w:t>
      </w:r>
    </w:p>
    <w:p>
      <w:r>
        <w:t>De 1988 à 2006/2007, l'intimé a confié au recourant, qui a accepté de fournir ses services d'expert-comptable indépendant, la charge d'établir chaque année la comptabilité et les déclarations fiscales en relation avec les diverses activités menées par le premier dans le domaine de la maroquinerie à .... Il est indubitable que les parties ont conclu un contrat de mandat ( art. 394 al. 1 CO ). Ce point ne fait d'ailleurs l'objet d'aucune discussion.</w:t>
      </w:r>
    </w:p>
    <w:p>
      <w:r>
        <w:t>La seule question litigieuse est celle de savoir si le recourant a droit à une rémunération supplémentaire - en plus des 145'000 fr. qu'il a touchés de l'intimé - pour les services qu'il a rendus à ce dernier de 2000 à 2006/2007.</w:t>
      </w:r>
    </w:p>
    <w:p>
      <w:r>
        <w:rPr>
          <w:b/>
        </w:rPr>
        <w:t>E. 3.1</w:t>
      </w:r>
    </w:p>
    <w:p>
      <w:r>
        <w:t>La cour cantonale a considéré que les parties étaient convenues de rémunérer le recourant pour ses services, mais que le nombre d'heures nécessaires et le tarif horaire n'avaient pas été discutés. Ce dernier n'a établi rétroactivement des factures pour les années 2001 à 2007 qu'à partir du moment où l'intimé lui a reproché une mauvaise exécution du mandat. De 2000 à 2002, le recourant n'a pas dressé la comptabilité de son mandant ni rempli les déclarations d'impôts de celui-ci. L'établissement a posteriori des comptes de son mandant ayant comporté de nombreuses erreurs, les activités du recourant n'ont pas été exécutées avec diligence. Les magistrats genevois en ont inféré que le recourant ne pouvait réclamer des honoraires supplémentaires.</w:t>
      </w:r>
    </w:p>
    <w:p>
      <w:r>
        <w:t>Le recourant invoque une violation de l' art. 394 CO . Il prétend qu'en sa qualité de mandataire professionnel, il a droit à ses honoraires pour l'activité exercée au bénéfice de l'intimé. A l'en croire, aucune irrégularité dans la gestion du mandat ne peut être retenue à son encontre.</w:t>
      </w:r>
    </w:p>
    <w:p>
      <w:r>
        <w:rPr>
          <w:b/>
        </w:rPr>
        <w:t>E. 3.2</w:t>
      </w:r>
    </w:p>
    <w:p>
      <w:r>
        <w:t>A teneur de l' art. 394 al. 3 CO , une rémunération est due au mandataire si la convention ou l'usage lui en assure une.</w:t>
      </w:r>
    </w:p>
    <w:p>
      <w:r>
        <w:t>D'après la jurisprudence, les honoraires dus à un mandataire sont fixés en première ligne d'après la convention des parties. A défaut d'accord sur ce point et s'il n'y a pas d'usage - comme c'est le cas en l'espèce -, le juge fixe la rémunération en tenant compte de toutes les circonstances pertinentes, étant précisé que dite rémunération doit être objectivement proportionnée aux services rendus ( ATF 135 III 259 consid. 2.2 p. 261 s. et les arrêts cités). Lorsque le mandat est exécuté de manière défectueuse, il peut en résulter une réduction des honoraires du mandataire, afin que l'équilibre des prestations contractuelles échangées soit rétabli ( ATF 124 III 423 consid. 4a p.427 et les références; arrêt 4A_89/2012 du 17 juillet 2012 consid. 3.1, résumé in JdT 2013 II 173; CHRISTOPH MÜLLER, Contrats de droit suisse, 2012, ch. 2051 p. 421).</w:t>
      </w:r>
    </w:p>
    <w:p>
      <w:r>
        <w:t>En l'occurrence, il a été constaté en fait ( art. 105 al. 1 LTF ) que le recourant, qui ne s'est pas rendu dans les bureaux de l'intimé entre 2000 et 2002, n'a pas établi la comptabilité de son mandant pour cette période ni n'a déposé les déclarations fiscales y relatives. Il n'a pas été prouvé qu'il aurait été empêché de quelconque façon d'obtenir les documents nécessaires à l'accomplissement des tâches précitées. Dans ces circonstances, le fait de n'avoir pas effectué les prestations qu'il s'était obligé à exécuter par contrat constitue sans conteste possible une mauvaise exécution des obligations du mandataire.</w:t>
      </w:r>
    </w:p>
    <w:p>
      <w:r>
        <w:t>A cela s'est ajouté que le recourant a commis de grossières erreurs dans les comptes de l'intimé relatifs aux années 2003 à 2006.</w:t>
      </w:r>
    </w:p>
    <w:p>
      <w:r>
        <w:t>Ainsi, en 2003, le recourant a indiqué une perte de 139'076 fr., alors que le fisc a arrêté le revenu imposable à 977'974 fr. Pour 2004, il a mentionné dans les comptes un revenu net de 239'953 fr., tandis que le fisc a fixé le revenu imposable de la même année à 1'579'452 fr., ce qui est six fois et demi plus élevé. Pour les années 2005 et 2006, le montant figurant dans les comptes comme revenu net représente le 25,3%, respectivement le 34,6 %, du revenu imposable retenu par les autorités fiscales.</w:t>
      </w:r>
    </w:p>
    <w:p>
      <w:r>
        <w:t>Le recourant, qui n'a donc pas rendu les services promis conformément au contrat, ne saurait prétendre à des honoraires supplémentaires à ceux qu'il a touchés entre 2000 et 2007, lesquels représentent la somme non négligeable de 145'000 fr., soit, sur huit ans, un montant moyen annuel de 18'125 fr. Il est significatif à cet égard que l'arrêt critiqué relève, au considérant D/c p. 9, que la fiduciaire qui a repris l'activité du recourant a facturé à l'intimé des honoraires nettement inférieurs à cette moyenne annuelle, à savoir 17'398 fr.95 pour 2008, 9'684 fr. pour 2009 et 6'635 fr.60 pour 2010.</w:t>
      </w:r>
    </w:p>
    <w:p>
      <w:r>
        <w:t>Le moyen est privé de fondement.</w:t>
      </w:r>
    </w:p>
    <w:p>
      <w:r>
        <w:rPr>
          <w:b/>
        </w:rPr>
        <w:t>E. 4</w:t>
      </w:r>
    </w:p>
    <w:p>
      <w:r>
        <w:t>En définitive, le recours doit être rejeté en tant qu'il est recevable. Le recourant, qui succombe, paiera les frais judiciaires et versera à sa partie adverse une indemnité à titre de dépens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