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322/2012 vom 21. Februar 2013</w:t>
      </w:r>
    </w:p>
    <w:p>
      <w:r>
        <w:t>Bundesgericht, 2013-02-21, DE</w:t>
      </w:r>
    </w:p>
    <w:p>
      <w:r>
        <w:rPr>
          <w:b/>
        </w:rPr>
        <w:t xml:space="preserve">Quelle: </w:t>
      </w:r>
      <w:r>
        <w:t>https://mcp.opencaselaw.ch/entscheid/bger_4A_322_2012</w:t>
      </w:r>
    </w:p>
    <w:p>
      <w:r>
        <w:t>FR: TF 4A 322/2012 du 21 février 2013</w:t>
      </w:r>
    </w:p>
    <w:p>
      <w:r>
        <w:t>IT: TF 4A 322/2012 del 21 febbraio 2013</w:t>
      </w:r>
    </w:p>
    <w:p>
      <w:pPr>
        <w:pStyle w:val="Heading2"/>
      </w:pPr>
      <w:r>
        <w:t>Regeste</w:t>
      </w:r>
    </w:p>
    <w:p>
      <w:r>
        <w:t>Haftung des Motorfahrzeughalters; vorsorgliche Beweisabnahme | Haftpflichtrecht</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Streitwert von Fr. 130'000.-- ( Art. 53 und 74 Abs. 1 lit. b BGG ).</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S. 79 ; 134 I 83 E. 3.1 S. 86 f.). 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 BGE 138 III 76 E. 1.2 S. 79; 138 III 46 E. 1.1 S. 46 f.). Dagegen ist die Beschwerde in Zivilsachen zulässig.</w:t>
      </w:r>
    </w:p>
    <w:p>
      <w:r>
        <w:rPr>
          <w:b/>
        </w:rPr>
        <w:t>E. 1.3</w:t>
      </w:r>
    </w:p>
    <w:p>
      <w:r>
        <w:t>Bei einem Entscheid über vorsorgliche Beweisführung handelt es sich um einen Entscheid i.S. von Art. 98 BGG ( BGE 138 III 46 E. 1.1 S. 46; 133 III 638 E. 2 S. 639). Dagegen kann nur die Verletzung verfassungsmässiger Rechte gerügt werden. 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1.4.1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1.4.2</w:t>
      </w:r>
    </w:p>
    <w:p>
      <w:r>
        <w:t>Diese Grundsätze verkennt der Beschwerdeführer in mehrerer Hinsicht. Zunächst gibt er unter dem Titel "III. Zum massgebenden Sachverhalt" den Sachverhalt im Wesentlichen aus eigener Sicht wieder, dies unter Hinweis auf im vorinstanzlichen Verfahren eingereichte Beweismittel, jedoch ohne gleichzeitig eine Sachverhaltsrüge zu erheben. Die entsprechenden Ausführungen sind somit unbeachtlich. Schliesslich verlangt er unter dem Titel "IV. Ergänzung des Sachverhalts im Sinne von Art.105 Abs. 2 BGG " die Berücksichtigung weiterer Sachverhaltselemente. Dabei legt der Beschwerdeführer jedoch nicht substanziiert dar, inwiefern die Voraussetzungen einer Ausnahme gemäss Art. 105 Abs. 2 BGG gegeben sind und namentlich das Verfahren bei rechtskonformer Ermittlung des Sachverhalts anders ausgegangen wäre. Auf die entsprechenden Ausführungen ist damit ebenfalls nicht einzutreten.</w:t>
      </w:r>
    </w:p>
    <w:p>
      <w:r>
        <w:rPr>
          <w:b/>
        </w:rPr>
        <w:t>E. 2</w:t>
      </w:r>
    </w:p>
    <w:p>
      <w:r>
        <w:t>Der Beschwerdeführer macht geltend, die Vorinstanz habe Art. 158 Abs. 1 lit. b ZPO willkürlich ausgelegt und damit seinen Anspruch auf Klärung der Beweis- und Prozessaussichten willkürlich eingeschränkt.</w:t>
      </w:r>
    </w:p>
    <w:p>
      <w:r>
        <w:rPr>
          <w:b/>
        </w:rPr>
        <w:t>E. 2.1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2.2.1</w:t>
      </w:r>
    </w:p>
    <w:p>
      <w:r>
        <w:t>Art. 158 ZPO regelt die vorsorgliche Beweisführung. Nach Abs. 1 lit. b nimmt das Gericht jederzeit Beweis ab, wenn die gesuchstellende Partei eine Gefährdung der Beweismittel oder ein schutzwürdiges Interesse glaubhaft macht. 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S. 7315; BGE 138 III 76 E. 2.4.2 S. 81). Zur Glaubhaftmachung eines schutzwürdigen Interesse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138 III 76 E. 2.4.2 S. 81). Der Gesuchsteller, der sich auf Art. 158 Abs. 1 lit. b ZPO stützt, muss daher glaubhaft machen, dass ein Sachverhalt vorliegt, gestützt auf den ihm das materielle Recht einen Anspruch gegen die Gesuchsgegnerin gewährt, und zu dessen Beweis das abzunehmende Beweismittel dienen kann ( BGE 138 III 76 E. 2.4.2 S. 81 mit Hinweisen).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behauptet ( BGE 138 III 76 E. 2.4.2 S. 82). Die Anforderungen an die Glaubhaftmachung dürfen nicht überspannt werden, geht es doch beim Verfahren der vorsorglichen Beweisabnahme noch nicht um die Prüfung der Begründetheit des Hauptanspruchs (MARK SCHWEIZER, Vorsorgliche Beweisabnahme nach schweizerischer Zivilprozessordnung und Patentgesetz, ZZZ 2010, S. 8; LAURENT KILLIAS et al., Gewährt Art. 158 ZPO eine "pre-trial discovery" nach US-amerikanischem Recht?, in: Lorandi/Staehelin [Hrsg.], Innovatives Recht, Festschrift für Ivo Schwander, 2011, S. 941). Abgesehen von der Glaubhaftmachung eines Hauptsacheanspruchs bzw. der substanziierten Behauptung der anspruchsbegründenden Tatsachen, die durch das vorsorglich beantragte Beweismittel bewiesen werden sollen, sind an das Bestehen eines schutzwürdigen Interesses keine hohen Anforderungen zu stellen (WALTER FELLMANN, in: Sutter-Somm et al. [Hrsg.], Kommentar zur Schweizerischen Zivilprozessordnung, 2. Aufl. 2013, N. 19 zu Art. 158). Dieses ist grundsätzlich nur dann zu verneinen, wenn es sich als offensichtlich nicht existent erweist, was namentlich der Fall sein kann, wenn das beantragte Beweismittel offenkundig untauglich ist (SCHWEIZER, a.a.O., S. 8; LEUCH et al., Die Zivilprozessordnung für den Kanton Bern, 5. Aufl. 2000, N. 1b zu Art. 227 ZPO /BE).</w:t>
      </w:r>
    </w:p>
    <w:p>
      <w:r>
        <w:rPr>
          <w:b/>
        </w:rPr>
        <w:t>E. 2.2.2</w:t>
      </w:r>
    </w:p>
    <w:p>
      <w:r>
        <w:t>Im Verfahren nach Art. 158 Abs. 1 ZPO ist schliesslich zu beachten, dass im Stadium einer vorsorglichen Beweisführung vor Einleitung des Hauptprozesses das Prozessthema noch nicht abschliessend herausgeschält ist. Es liegt daher primär in der Verantwortung des Gesuchstellers, dem Gericht die erforderlichen Angaben zum Sachverhalt zu machen und den Umfang der beantragten Beweisführung zu bestimmen (FELLMANN, a.a.O., N. 20 zu Art. 158 ZPO ). Verlangt der Gesuchsteller die Einholung eines Gutachtens, obliegt es in erster Linie ihm, dem Gericht die Fragen zu unterbreiten, die dem Experten zu stellen sind (KILLIAS et al., a.a.O., S. 943; FELLMANN, a.a.O., N. 20 zu Art. 158 ZPO ; LEUCH et al., a.a.O., N. 4 zu Art. 223 ZPO /BE). Die Gesuchsgegnerin kann durch eigene Fragen oder durch Zusatz- und Ergänzungsfragen ihren eigenen Standpunkt in das Verfahren einbringen (FELLMANN, a.a.O., N. 20 zu Art. 158 ZPO ). Zudem kann die Gesuchsgegnerin in ihrer Stellungnahme zum Gesuch auch eine Ausdehnung der Beweisführung auf weitere Tatsachen und Gegenbeweismittel beantragen, sofern auch diesbezüglich die Voraussetzungen von Art. 158 ZPO erfüllt sind (FELLMANN, a.a.O., N. 26 zu Art. 158 ZPO ; LEUCH et al., a.a.O., N. 1 zu Art. 224 ZPO /BE).</w:t>
      </w:r>
    </w:p>
    <w:p>
      <w:r>
        <w:rPr>
          <w:b/>
        </w:rPr>
        <w:t>E. 2.3</w:t>
      </w:r>
    </w:p>
    <w:p>
      <w:r>
        <w:t>Die Vorinstanz ist zutreffend von diesen Grundsätzen ausgegangen (Erwägungen 4 und 7.4 des angefochtenen Entscheids), hat indessen ein schützenswertes Interesse des Beschwerdeführers an einer vorsorglichen Beweisführung mit folgender Begründung verneint: Der Beschwerdeführer habe in seinem Gesuch vom 23. Mai 2011 unter Hinweis auf Arztberichte als massgeblichen Sachverhalt für die Klärung der Frage des Fortbestehens von Beschwerden und des natürlichen Kausalzusammenhangs den Unfall vom 28. März 2005, die daraus resultierenden Verletzungen und die heutigen Beschwerden vorgetragen. Die Beschwerdegegnerin mache dagegen geltend, es seien für die Frage der Kausalität weitere Umstände zu berücksichtigen, so namentlich ein angeblich regelmässiger und intensiver Alkohol- und Cannabiskonsum des Beschwerdeführers. Zudem weise der Beschwerdeführer eine vorbestehende Persönlichkeitsstörung auf. Dieser habe zudem bereits als Kind an Sprachproblemen gelitten und bereits im Kindesalter zwei Unfälle gehabt, bei welchen er sich am Kopf verletzt habe. Seit einem Unfall, der sich vor demjenigen am 28. März 2005 ereignet habe, leide der Beschwerdeführer ferner an einem Schleudertrauma. Am 21. Juni 2009 sei der Beschwerdeführer sodann mit seinem Auto gegen einen Baum gefahren. Gemäss der Vorinstanz habe die Beschwerdegegnerin für diese Behauptungen diverse Unterlagen eingereicht. Der Beschwerdeführer habe erst in einer unaufgeforderten Stellungnahme vom 28. Mai 2011 zum von der Beschwerdegegnerin behaupteten Vorzustand, zum Drogenkonsum und zum Unfall vom Juni 2009 Stellung genommen, wobei er die Behauptungen als irrelevant bezeichnet, teilweise anders dargestellt und die Zusammenhänge mit den heutigen Beschwerden bestritten habe. Gemäss der Vorinstanz seien zwischen den Parteien augenscheinlich nicht nur die mit dem beantragten Gutachten zu klärenden Fragen der heutigen Beschwerden und der Kausalität zum Unfall vom März 2005, sondern der Sachverhalt überhaupt umstritten. Bei den genannten, umstrittenen Sachverhaltspunkten handle es sich um solche, die Einfluss auf die Beantwortung der Frage der Kausalität zwischen den allfälligen heutigen Beschwerden und dem Unfall vom März 2005 haben könnten. Für die gutachterliche Beurteilung der Kausalität seien sie daher von Bedeutung. Solange der Sachverhalt in den für das Gutachten wesentlichen Punkten solcherart umstritten und nicht annähernd erstellt sei, könne ein Gutachten im Rahmen der vorsorglichen Beweisführung für die Beurteilung der Beweis- und Prozessaussichten die mit dem Instrument angestrebte Klärung nicht bringen. Daran ändert nach Auffassung der Vorinstanz nichts, dass der Gutachter Einsicht in die gesamten vorliegenden Akten habe, weil es nicht am Gutachter sei, den umstrittenen Sachverhalt in eigener Würdigung zu erstellen. Wenn bereits heute erkennbar sei, dass das Gutachten in einem ordentlichen Prozess ergänzt oder gar ersetzt werden müsse, sei das Gutachten gemäss der Vorinstanz aber zu wenig aussagekräftig, als dass es sich überhaupt eignen würde, die Prozesschancen mit einer gewissen Verlässlichkeit abzuschätzen. Auch tauge es nicht als Grundlage für Vergleichsgespräche. Ein schützenswertes Interesse an der vorsorglichen Beweisführung sei deshalb zu verneinen.</w:t>
      </w:r>
    </w:p>
    <w:p>
      <w:r>
        <w:rPr>
          <w:b/>
        </w:rPr>
        <w:t>E. 2.4</w:t>
      </w:r>
    </w:p>
    <w:p>
      <w:r>
        <w:t>Nach Auffassung des Beschwerdeführers ist diese Begründung in sich widersprüchlich und sachfremd. Sie vereitle damit in willkürlicher Weise ( Art. 9 BV ) seinen Anspruch auf Klärung der Beweis- und Prozessaussichten ( Art. 158 ZPO ).</w:t>
      </w:r>
    </w:p>
    <w:p>
      <w:r>
        <w:rPr>
          <w:b/>
        </w:rPr>
        <w:t>E. 2.4.1</w:t>
      </w:r>
    </w:p>
    <w:p>
      <w:r>
        <w:t>Der Beschwerdeführer führt aus, dass die Haftung des Fahrzeughalters auf Art. 58 i.V.m. 65 SVG gründe. Der Geschädigte habe dabei den natürlichen Kausalzusammenhang zwischen dem Unfallereignis und der Schädigung zu beweisen. Hierzu sei das vom Beschwerdeführer beantragte medizinische Gutachten tauglich. In diesem Zusammenhang werde auch die Frage nach möglichen, unterbrechenden Drittursachen gestellt werden können. Wenn von höherer Gewalt, grobem Selbst- oder Drittverschulden die Rede und deswegen der Kausalzusammenhang unterbrochen worden sei, könne sich der Halter von einer möglichen Haftung befreien ( Art. 59 SVG ). Zudem seien die weiteren Reduktionsgründe nach Art. 43 ff. OR und damit die konstitutionelle Prädisposition im Rahmen von Art. 44 Abs. 1 OR zu berücksichtigen. Das Prozessthema bestehe in der Hauptsache vor allem aus dem Kausalverlauf, den Unterbrechungsgründen und allfälligen Vorzuständen. Nach Auffassung des Beschwerdeführers sind die von der Vorinstanz genannten, umstrittenen Sachverhaltselemente nichts anderes als durch den medizinischen Gutachter abzuklärende Vorzustände und Drittursachen. So werde die Frage zu klären sein, inwieweit die körperlichen Einschränkungen auf das am 28. März 2005 erlittene Schädelhirntrauma zurückzuführen sind, oder ob hier der Unfall vom 21. Juni 2009 allein oder teilweise massgebend ist, ob es überhaupt Folgen gibt, die sich darauf zurückführen lassen etc. Das Gleiche gelte für den angeblichen Drogenkonsum und den vermeintlichen Vorzustand aus Kindheitstagen. Bei all diese Fragen handle es sich im Kern um medizinische Fragen, die von einer Fachperson zu beantworten seien. Da das medizinische Gutachten für ein späteres Verfahren zentral sein werde, können nach Auffassung des Beschwerdeführers die Beweis- und Prozessaussichten eingeschätzt werden, sobald über die Zurechnung der Haftungsfolgen Klarheit herrsche. Der medizinische Sachverständige werde anhand der geäusserten Symptome, der Untersuchung und der aktenkundigen Berichte in der Lage sein festzustellen, was auf den Drogenkonsum, was auf den Unfall aus dem Jahr 2009 und was auf das schwere Schädel-Hirntrauma aus dem Jahr 2005 zurückzuführen ist und ob hier von einer Haupt- oder von einer Teilursache ausgegangen werden muss. Der Beschwerdeführer schliesst sodann, dass entgegen dieser eigentlich eindeutigen Ausgangslage das vorinstanzliche Urteil gerade die typischen, von einem medizinischen Gutachten abzuklärenden Fragen zum Anlass nehme, um das Gesuch um vorsorgliche Beweisführung abzuweisen. Das Gesuch werde im Kern einzig deshalb abgelehnt, weil zu wenig Klarheit herrsche, obwohl doch ein Gesuch um vorsorgliche Beweisabnahme gerade deshalb eingereicht wurde, um Gewissheit bei divergierenden Standpunkten zu erhalten, da nur so die Prozess- und Beweisaussichten abgeschätzt werden könnten. Indem die Vorinstanz nun wegen dieser zentralen Sachumstände das Gesuch abweise, verunmögliche sie dem Beschwerdeführer die Abklärung der Prozesschancen und zwar ohne eine sachliche Grundlage anführen zu können. Gerade die von der Vorinstanz angeführten Motive der Abweisung seien nämlich Gründe, eine Begutachtung anzuordnen. Werde nun aber das Gesuch aus Gründen abgewiesen, deretwegen das Rechtsinstitut der vorsorglichen Beweisführung eigentlich geschaffen wurde, so leide der angefochtene Entscheid an einem inneren, nicht auflösbaren Widerspruch. Es müsse von einem Widerspruch zur tatsächlichen Situation ausgegangen werden, da so getan werde, als liefen die sich widersprechenden Sachumstände der vorsorglichen Beweisabnahme zuwider.</w:t>
      </w:r>
    </w:p>
    <w:p>
      <w:r>
        <w:rPr>
          <w:b/>
        </w:rPr>
        <w:t>E. 2.5</w:t>
      </w:r>
    </w:p>
    <w:p>
      <w:r>
        <w:t>Die Rüge, der angefochtene Entscheid leide an einem inneren Widerspruch und vereitle damit in willkürlicher Weise den aus Art. 158 ZPO fliessenden Anspruch des Beschwerdeführers auf vorsorgliche Beweisführung, ist begründet. Wenn die Vorinstanz dem Beschwerdeführer ein schutzwürdiges Interesse an der Klärung seiner Beweis- und Prozesschancen im Wesentlichen mit der Begründung abspricht, der massgebliche Sachverhalt sei umstritten und damit unklar, ist dies nicht nur in sich widersprüchlich, sondern auch sachfremd. Denn im Umstand, dass der Sachverhalt zwischen den Parteien umstritten ist, wurzelt gerade das schutzwürdige Interesse an der Abklärung der Beweischancen. Es ist daher willkürlich, wenn die Vorinstanz mit diesem Umstand den Wegfall eines solchen Interesses begründet (vgl. auch Urteil 4A_488/2012 vom 5. November 2012 E. 2.4 in fine). Die Vorinstanz verkennt zudem die Voraussetzungen und die Funktionsweise der vorsorglichen Beweisführung: Wie oben ausgeführt (E. 2.2.2), liegt es in der Natur der Sache, dass das Prozessthema im Stadium einer vorsorglichen Beweisführung vor Einleitung des Hauptprozesses noch nicht abschliessend herausgeschält ist. Bringt die Gesuchsgegnerin in ihrer Stellungnahme zum Gesuch Einwände bzw. Ergänzungen zum umstrittenen Sachverhalt vor, so führt dies entgegen der Auffassung der Vorinstanz nicht zur offenkundigen Untauglichkeit des beantragten Gutachtens als Beweismittel: Ist - wie hier - ein Gutachten als Mittel zum Nachweis der Kausalität grundsätzlich geeignet, muss das Gericht der Gesuchsgegnerin, welche Einwände bzw. Ergänzungen zum umstrittenen Sachverhalt vorbringt, Gelegenheit geben, durch eigene Fragen oder durch Zusatz- und Ergänzungsfragen an den Sachverständigen ihren eigenen Standpunkt in das Verfahren einzubringen und damit die Beweistauglichkeit des Gutachtens sicherzustellen. Mit dem blossen Hinweis auf sachverhaltliche Einwände der Gesuchsgegnerin lässt sich die Beweistauglichkeit des beantragten Gutachtens jedenfalls nicht zum Vornherein in Abrede stellen, zumal nicht ersichtlich ist, mit welchem anderen Beweismittel die hier umstrittene Kausalität abgeklärt werden könnte; die Beweistauglichkeit des beantragten Gutachtens lässt sich nicht willkürfrei verneinen. Dem Umstand, dass ein Sachverhalt umstritten ist, ist mit der Formulierung von Zusatz- und Ergänzungsfragen seitens der Gesuchsgegnerin und nicht mit der Verneinung eines schutzwürdigen Interesses an der Abklärung der Beweischancen Rechnung zu tragen. Abgesehen davon hätte die Gesuchsgegnerin die Gelegenheit gehabt, in ihrer Stellungnahme eine Ausdehnung der Beweisführung auf weitere Tatsachen und Gegenbeweismittel zu beantragen. Mit der Verneinung des schutzwürdigen Interesses an der vorsorglichen Beweisführung hat die Vorinstanz Art. 158 Abs. 1 lit. b ZPO willkürlich angewendet. Dass der Beschwerdeführer das Gesuch um vorsorgliche Beweisführung im Übrigen in rechtsmissbräuchlicher Weise ( Art. 52 ZPO ) gestellt hätte, wie dies die Beschwerdegegnerin in ihrer Vernehmlassung behauptet, ist gestützt auf die vorinstanzlichen Sachverhaltsfeststellungen nicht ersichtlich.</w:t>
      </w:r>
    </w:p>
    <w:p>
      <w:r>
        <w:rPr>
          <w:b/>
        </w:rPr>
        <w:t>E. 3</w:t>
      </w:r>
    </w:p>
    <w:p>
      <w:r>
        <w:t>Damit ist die Beschwerde begründet. Die Ziffern 1-8 des angefochtenen Urteils sind aufzuheben und das Gesuch um vorsorgliche Beweisabnahme in Form eines gerichtlichen Gutachtens zu den medizinischen Dauerfolgen des erlittenen Unfalls vom 28. März 2005 ist gutzuheissen. Da die Beschwerdegegnerin aufgrund der Rechtsmittelverfahren vor der Vorinstanz und vor Bundesgericht noch keine Gelegenheit gehabt hat, entsprechend den Ziffern 2 und 3 der erstinstanzlichen Verfügung zu den möglichen Sachverständigen Stellung zu nehmen sowie Ergänzungsfragen an den Gutachter zu formulieren, ist die Streitsache diesbezüglich an die Vorinstanz zurückzuweisen. Diese hat den Parteien Vorschläge zu den Sachverständigen zu machen und der Beschwerdegegnerin die Gelegenheit zu geben, Ergänzungsfragen zu formulieren. Ferner ist die Sache zur Neuregelung der Kosten- und Entschädigungsfolgen des erst- und zweitinstanzlichen Verfahrens an die Vorinstanz zurückzuweisen ( Art. 67 und 68 Abs. 5 BGG ). Dem Ausgang des Verfahrens entsprechend wird die Beschwerdegegnerin für das bundesgerichtliche Verfahren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