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4A_321/2024 vom 1. Juli 2024</w:t>
      </w:r>
    </w:p>
    <w:p>
      <w:r>
        <w:t>Bundesgericht, 2024-07-01, DE</w:t>
      </w:r>
    </w:p>
    <w:p>
      <w:r>
        <w:rPr>
          <w:b/>
        </w:rPr>
        <w:t xml:space="preserve">Quelle: </w:t>
      </w:r>
      <w:r>
        <w:t>https://mcp.opencaselaw.ch/entscheid/bger_4A_321_2024</w:t>
      </w:r>
    </w:p>
    <w:p>
      <w:r>
        <w:t>FR: TF 4A_321/2024 du 1 juillet 2024</w:t>
      </w:r>
    </w:p>
    <w:p>
      <w:r>
        <w:t>IT: TF 4A_321/2024 del 1 luglio 2024</w:t>
      </w:r>
    </w:p>
    <w:p>
      <w:pPr>
        <w:pStyle w:val="Heading2"/>
      </w:pPr>
      <w:r>
        <w:t>Erwägungen</w:t>
      </w:r>
    </w:p>
    <w:p>
      <w:r>
        <w:rPr>
          <w:b/>
        </w:rPr>
        <w:t>E. 1</w:t>
      </w:r>
    </w:p>
    <w:p>
      <w:r>
        <w:t>Die Beschwerdeführerin hat ihre Beschwerde in französischer Sprache eingereicht.</w:t>
      </w:r>
    </w:p>
    <w:p>
      <w:r>
        <w:t>Gemäss Art. 54 Abs. 1 BGG wird das bundesgerichtliche Verfahren in der Regel in der Sprache des angefochtenen Urteils geführt, weshalb das Urteil des Bundesgerichts vorliegend in deutscher Sprache ergeht.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2.3.1</w:t>
      </w:r>
    </w:p>
    <w:p>
      <w:r>
        <w:t>Die Vorinstanz hat gestützt auf das Haftungsgesetz des Kantons Zürich (LS 170.1) erwogen, dass sie für die gestellten Ansprüche aus Staatshaftung nicht zuständig sei. Diese Anwendung des kantonalen Rechts prüft das Bundesgericht lediglich auf Willkür ( Art. 9 BV ; BGE 139 III 252 E. 1.4; 135 III 513 E. 4.2). Eine solche Prüfung setzt entsprechende Rügen voraus, in denen klar und detailliert anhand der Erwägungen des angefochtenen Urteils dargelegt wird, inwiefern verfassungsmässige Rechte verletzt worden sein sollen (oben E. 2.1). Die Beschwerdeführerin beantragt in der Sache auch vor Bundesgericht die Verurteilung zu einem Anspruch aus Staatshaftung, setzt sich dabei aber offensichtlich nicht hinreichend mit der Begründung des angefochtenen Urteils auseinander. Sie verweist pauschal darauf, die Leistung von Schadenersatz sei notwendig, um die durch die Ausweisung verletzten Rechte wiederherzustellen, ohne sich konkret mit der Anwendung des kantonalen Haftungsgesetzes und den entsprechenden Erwägungen zur Zuständigkeit der Vorinstanz zu befassen. Sie bezeichnet weder die kantonale Rechtsnorm, die qualifiziert unrichtig oder nicht angewandt worden wäre, noch zeigt sie anhand der angefochtenen Subsumtion im Einzelnen auf, inwiefern der Nichteintretensentscheid mangels Zuständigkeit offensichtlich unhaltbar ist (vgl. BGE 140 III 167 E. 2.1; 134 II 349 E. 3 ; 132 I 13 E. 5.1; 110 Ia 1 E. 2a; Urteil 4A_453/2014 vom 23. Februar 2015 E. 3.1).</w:t>
      </w:r>
    </w:p>
    <w:p>
      <w:r>
        <w:rPr>
          <w:b/>
        </w:rPr>
        <w:t>E. 2.3.2</w:t>
      </w:r>
    </w:p>
    <w:p>
      <w:r>
        <w:t>Die Vorinstanz legte einlässlich dar, dass die Beschwerdegegnerin zum Antrag auf Vollstreckung der Ausweisung aktivlegitimiert, dass der rechtskräftige Ausweisungsentscheid direkt vollstreckbar und, dass die Ausweisung verhältnismässig war. Die Beschwerdeführerin erhebt zwar eine Reihe von Vorwürfen (Verletzung der Bundesverfassung und der EMRK, Rechtsverweigerung, Diskriminierung, widersprüchliche Urteile, Missachtung des Grundsatzes der Verhältnismässigkeit und des Rechts auf ein faires Verfahren sowie eine Verletzung von Verfahrensvorschriften der ZPO), aus denen sie ableitet, der Ausweisungsentscheid sei verfrüht vollstreckt worden. Nicht hinreichend begründet die Beschwerdeführerin, inwiefern sie darauf ein Recht auf Restitution der Wohnung ableitet, bzw. inwiefern die Vorinstanz ein solches Recht verletzt haben soll. Die Beschwerdeführerin unterbreitet dem Bundesgericht vielmehr in unzulässiger Weise ihre eigene Sicht der Dinge zu den Hintergründen der Ausweisung sowie den bisher durchlaufenen Verfahren und bekräftigt ihre vorinstanzlich vorgetragenen Standpunkte zur fehlenden direkten Vollstreckbarkeit. Sie hält der Vorinstanz pauschal entgegen, wesentliche Elemente unberücksichtigt gelassen zu haben, die Prüfung des Interesses der Beschwerdegegner unterlassen und sich in Widerspruch zu vorhergehenden Urteilen gestellt zu haben, ohne jedoch konkret an den als rechtsfehlerhaft erachteten Erwägungen der Vorinstanz anzusetzen und aufzuzeigen, inwiefern das angefochtene Urteil konkret Recht verletzt oder entscheidrelevante, offensichtlich unrichtige Sachverhaltsfeststellungen enthält.</w:t>
      </w:r>
    </w:p>
    <w:p>
      <w:r>
        <w:rPr>
          <w:b/>
        </w:rPr>
        <w:t>E. 2.3.3</w:t>
      </w:r>
    </w:p>
    <w:p>
      <w:r>
        <w:t>Auf die Beschwerde ist somit mangels hinreichender Begründung nicht einzutreten ( Art. 108 Abs. 1 lit. b BGG ).</w:t>
      </w:r>
    </w:p>
    <w:p>
      <w:r>
        <w:rPr>
          <w:b/>
        </w:rPr>
        <w:t>E. 2.4</w:t>
      </w:r>
    </w:p>
    <w:p>
      <w:r>
        <w:t>Vor diesem Hintergrund kann offen bleiben, ob die Vorinstanz die Beschwerden zu Recht in einem kantonalen Aufsichtsbeschwerdeverfahren behandelte und das angefochtene Urteil überhaupt der Beschwerde ans Bundesgericht unterliegt (Urteile 4D_22/2023 vom 31. März 2023; 4D_34/2022 vom 3. August 2022; 4A_571/2013 vom 4. Februar 2014 E. 1.1).</w:t>
      </w:r>
    </w:p>
    <w:p>
      <w:r>
        <w:rPr>
          <w:b/>
        </w:rPr>
        <w:t>E. 3</w:t>
      </w:r>
    </w:p>
    <w:p>
      <w:r>
        <w:t>Das Gesuch um Gewährung der unentgeltlichen Rechtspflege für das bundesgerichtliche Verfahren ist bereits wegen Aussichtslosigkeit abzuweisen ( Art. 64 Abs. 1 BGG ). Die Beschwerdeführerin wird bei diesem Verfahrensausgang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