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4A_321/2016 vom 3. Oktober 2016</w:t>
      </w:r>
    </w:p>
    <w:p>
      <w:r>
        <w:t>Bundesgericht, 2016-10-03, FR</w:t>
      </w:r>
    </w:p>
    <w:p>
      <w:r>
        <w:rPr>
          <w:b/>
        </w:rPr>
        <w:t xml:space="preserve">Quelle: </w:t>
      </w:r>
      <w:r>
        <w:t>https://mcp.opencaselaw.ch/entscheid/bger_4A_321_2016</w:t>
      </w:r>
    </w:p>
    <w:p>
      <w:r>
        <w:t>FR: TF 4A_321/2016 du 3 octobre 2016</w:t>
      </w:r>
    </w:p>
    <w:p>
      <w:r>
        <w:t>IT: TF 4A_321/2016 del 3 ottobre 2016</w:t>
      </w:r>
    </w:p>
    <w:p>
      <w:pPr>
        <w:pStyle w:val="Heading2"/>
      </w:pPr>
      <w:r>
        <w:t>Erwägungen</w:t>
      </w:r>
    </w:p>
    <w:p>
      <w:r>
        <w:rPr>
          <w:b/>
        </w:rPr>
        <w:t>E. 1</w:t>
      </w:r>
    </w:p>
    <w:p>
      <w:r>
        <w:t>Le contrat liant les parties est un bail mobilier. La valeur litigieuse déterminante devant le Tribunal fédéral correspond au montant resté litigieux devant l'instance précédente ( art. 51 al. 1 let. a LTF ), à savoir 18'078 fr. La voie du recours en matière civile est dès lors ouverte ( art. 74 al. 1 let. a LTF ) et le recours constitutionnel irrecevable ( art. 113 LTF ). Contrairement à ce que semble croire la recourante, cette voie subsidiaire ne dépend pas du point de savoir si le recours en matière civile est fondé ou non.</w:t>
      </w:r>
    </w:p>
    <w:p>
      <w:r>
        <w:rPr>
          <w:b/>
        </w:rPr>
        <w:t>E. 2</w:t>
      </w:r>
    </w:p>
    <w:p>
      <w:r>
        <w:t>La recourante se plaint d'abord d'une violation du droit d'être entendu, au motif que la Cour d'appel n'aurait pas motivé le rejet de sa prétention en indemnité pour usage de l'objet après l'échéance du contrat de bail, nonobstant le fait qu'elle avait invoqué les art. 266f et 267 al. 1 CO .</w:t>
      </w:r>
    </w:p>
    <w:p>
      <w:r>
        <w:rPr>
          <w:b/>
        </w:rPr>
        <w:t>E. 2.1</w:t>
      </w:r>
    </w:p>
    <w:p>
      <w:r>
        <w:t>La recourante se prévaut de l' art. 28 al. 2 Cst./NE et de l' art. 29 al. 2 Cst. , sans toutefois démontrer que la Constitution cantonale accorderait un droit plus étendu que la Constitution fédérale. Il n'y a donc pas à entrer en matière sur le grief relatif à la norme constitutionnelle cantonale.</w:t>
      </w:r>
    </w:p>
    <w:p>
      <w:r>
        <w:t>L'intimée allègue que l'arrêt attaqué ne fait aucune mention de ce que la recourante aurait invoqué les art. 266f et 267 CO ; cet état de fait procédural n'étant pas critiqué de manière circonstanciée par la recourante, elle conclut qu'il lie la cour de céans et que celle-ci ne saurait retenir que la recourante a invoqué les dispositions précitées. Or, la recourante a fait valoir un loyer - respectivement une indemnité - pour la période postérieure à la résiliation du contrat de location, au motif que l'objet loué n'avait pas été restitué. La Cour d'appel appliquant le droit d'office ( art. 57 CPC ), il importe peu que la partie appelante ait expressément invoqué une disposition légale dès lors qu'elle a allégué les faits sur lesquels elle fonde ses prétentions et qu'elle a pris des conclusions. Au demeurant, la recourante a expressément invoqué les art. 266f et 267 CO dans sa réplique adressée à la Cour d'appel.</w:t>
      </w:r>
    </w:p>
    <w:p>
      <w:r>
        <w:rPr>
          <w:b/>
        </w:rPr>
        <w:t>E. 2.2</w:t>
      </w:r>
    </w:p>
    <w:p>
      <w:r>
        <w:t>Le droit d'être entendu garanti par l' 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 ATF 138 I 232 consid. 5.1).</w:t>
      </w:r>
    </w:p>
    <w:p>
      <w:r>
        <w:t>L'arrêt attaqué ne contient aucune motivation du rejet des prétentions en paiement d'une indemnité pour la période postérieure à l'échéance du contrat de location; l'arrêt se limite à l'affirmation que ces prétentions de la recourante sont dénuées de tout fondement. Le juge de première instance avait nié tout droit au loyer dès le 1</w:t>
      </w:r>
    </w:p>
    <w:p>
      <w:r>
        <w:t>er janvier 2013, à savoir pour la période antérieure à la résiliation du contrat de location, au motif que le véhicule était inutilisable; il en découlait a fortiori qu'aucune indemnité pour le véhicule inutilisable n'était due après la résiliation du contrat de location. La motivation du juge de première instance est claire. Mais on ne saurait retenir que la Cour d'appel l'a implicitement fait sienne. En effet, contrairement au juge de première instance, elle a condamné l'intimée à payer le loyer jusqu'à la date de la résiliation du contrat, nonobstant le fait que le véhicule était hors d'usage; ce dernier point ne peut donc logiquement pas avoir été, dans l'esprit de la Cour d'appel, le motif du rejet des prétentions de la recourante pour la période postérieure à la résiliation. Les motifs de la Cour d'appel ne sont pas reconnaissables. Ils le sont d'autant moins que l'état de fait constaté par cette autorité, extrêmement succinct et insuffisant au regard de l' art. 112 al. 1 let. b LTF , ne porte notamment pas sur les détails de ce qui est survenu entre le 14 décembre 2012 et le 18 mars 2013, la Cour d'appel se contentant d'exposer les allégués des parties sans dire lesquels elle retient. Le grief est fondé.</w:t>
      </w:r>
    </w:p>
    <w:p>
      <w:r>
        <w:rPr>
          <w:b/>
        </w:rPr>
        <w:t>E. 3</w:t>
      </w:r>
    </w:p>
    <w:p>
      <w:r>
        <w:t>Il s'ensuit l'admission du recours, l'annulation de l'arrêt attaqué et le renvoi de la cause à la Cour d'appel, sans qu'il soit nécessaire d'examiner les autres griefs soulevés par la recourante. L'intimée, qui a conclu à l'irrecevabilité, respectivement au rejet du recours, succombe et supporte en conséquence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