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4A_321/2013 vom 4. Oktober 2013</w:t>
      </w:r>
    </w:p>
    <w:p>
      <w:r>
        <w:t>Bundesgericht, 2013-10-04, DE</w:t>
      </w:r>
    </w:p>
    <w:p>
      <w:r>
        <w:rPr>
          <w:b/>
        </w:rPr>
        <w:t xml:space="preserve">Quelle: </w:t>
      </w:r>
      <w:r>
        <w:t>https://mcp.opencaselaw.ch/entscheid/bger_4A_321_2013</w:t>
      </w:r>
    </w:p>
    <w:p>
      <w:r>
        <w:t>FR: TF 4A_321/2013 du 4 octobre 2013</w:t>
      </w:r>
    </w:p>
    <w:p>
      <w:r>
        <w:t>IT: TF 4A_321/2013 del 4 ottobre 2013</w:t>
      </w:r>
    </w:p>
    <w:p>
      <w:pPr>
        <w:pStyle w:val="Heading2"/>
      </w:pPr>
      <w:r>
        <w:t>Erwägungen</w:t>
      </w:r>
    </w:p>
    <w:p>
      <w:r>
        <w:rPr>
          <w:b/>
        </w:rPr>
        <w:t>E. 1</w:t>
      </w:r>
    </w:p>
    <w:p>
      <w:r>
        <w:t>Das Bundesgericht prüft von Amtes wegen und mit freier Kognition, ob ein Rechtsmittel zulässig ist ( BGE 138 III 41 E. 1; 135 III 212 E. 1).</w:t>
      </w:r>
    </w:p>
    <w:p>
      <w:r>
        <w:rPr>
          <w:b/>
        </w:rPr>
        <w:t>E. 2</w:t>
      </w:r>
    </w:p>
    <w:p>
      <w:r>
        <w:t>Zu beurteilen ist die Leistungspflicht aus einer Zusatzversicherung zur sozialen Krankenversicherung. Derartige Zusatzversicherungen unterstehen gemäss Art. 12 Abs. 2 und 3 des Bundesgesetzes vom 18. März 1994 über die Krankenversicherung (KVG; SR 832.10) dem VVG. Streitigkeiten aus solchen Versicherungen sind privatrechtlicher Natur, weshalb als Rechtsmittel an das Bundesgericht die Beschwerde in Zivilsachen gemäss Art. 72-77 BGG in Betracht kommt ( BGE 133 III 439 E. 2.1 mit Hinweis). Das Sozialversicherungsgericht des Kantons Basel-Stadt hat als einzige kantonale Instanz im Sinne von Art. 7 ZPO entschieden, weshalb die Beschwerde in vermögensrechtlichen Angelegenheiten gemäss Art. 74 Abs. 2 lit. b BGG unabhängig vom Erreichen der Streitwertgrenze nach Art. 74 Abs. 1 lit. b BGG zulässig ist (vgl. BGE 138 III 2 E. 1.2.2).</w:t>
      </w:r>
    </w:p>
    <w:p>
      <w:r>
        <w:rPr>
          <w:b/>
        </w:rPr>
        <w:t>E. 3.1</w:t>
      </w:r>
    </w:p>
    <w:p>
      <w:r>
        <w:t>Mit dem angefochtenen Entscheid verwarf die Vorinstanz die Verjährungseinrede der Beschwerdeführerin. Dieser Entscheid schliesst das Verfahren nicht ab, sondern stellt einen Vor- und Zwischenentscheid dar (vgl. dazu BGE 135 III 329 E. 1.2, 212 E. 1.2; Urteil 4A_606/2010 vom 13. Januar 2011 E. 2.1).</w:t>
      </w:r>
    </w:p>
    <w:p>
      <w:r>
        <w:rPr>
          <w:b/>
        </w:rPr>
        <w:t>E. 3.2</w:t>
      </w:r>
    </w:p>
    <w:p>
      <w:r>
        <w:t>Gegen selbständig eröffnete Vor- und Zwischenentscheide, die weder die Zuständigkeit noch den Ausstand betreffen, ist die Beschwerde nur zulässig, wenn eine der folgenden alternativen Voraussetzungen erfüllt ist: Erstens, wenn der Vor- und Zwischenentscheid einen nicht wieder gutzumachenden Nachteil bewirken kann ( Art. 93 Abs. 1 lit. a BGG ); zweitens, wenn die Gutheissung der Beschwerde sofort einen Endentscheid herbeiführen und damit einen bedeutenden Aufwand an Zeit oder Kosten für ein weitläufiges Beweisverfahren ersparen würde ( Art. 93 Abs. 1 lit. b BGG ). Die selbständige Anfechtbarkeit von Vor- und Zwischenentscheiden bildet aus prozessökonomischen Gründen eine Ausnahme vom Grundsatz, dass sich das Bundesgericht mit jeder Angelegenheit nur einmal befassen soll ( BGE 138 III 94 E. 2.1 ; 135 I 261 E. 1.2; 134 III 188 E. 2.2; 133 III 629 E. 2.1). Die Ausnahme ist restriktiv zu handhaben, zumal die Parteien keiner Rechte verlustig gehen, wenn sie einen Zwischenentscheid im Sinne von Art. 93 BGG nicht selbständig anfechten, können sie ihn doch durch Beschwerde gegen den Endentscheid anfechten, soweit er sich auf dessen Inhalt auswirkt ( Art. 93 Abs. 3 BGG ; BGE 135 III 329 E. 1.2.2; 133 IV 288 E. 3.2). Dementsprechend obliegt es dem Beschwerdeführer darzutun, dass die Voraussetzungen von Art. 93 BGG erfüllt sind, soweit deren Vorliegen nicht in die Augen springt ( BGE 138 III 46 E. 1.2 S. 47; 134 III 426 E. 1.2 in fine; 133 III 629 E. 2.3.1 und 2.4.2).</w:t>
      </w:r>
    </w:p>
    <w:p>
      <w:r>
        <w:rPr>
          <w:b/>
        </w:rPr>
        <w:t>E. 3.3</w:t>
      </w:r>
    </w:p>
    <w:p>
      <w:r>
        <w:t>Dass der angefochtene Entscheid einen nicht wieder gutzumachenden Nachteil im Sinne von Art. 93 Abs. 1 lit. a BGG bewirken kann, macht die Beschwerdeführerin nicht geltend und ist auch nicht ersichtlich. Hingegen beruft sie sich auf Art. 93 Abs. 1 lit. b BGG .</w:t>
      </w:r>
    </w:p>
    <w:p>
      <w:r>
        <w:t>Zur ersten Voraussetzung von Art. 93 Abs. 1 lit. b BGG , dass das Bundesgericht, sollte es die Rechtsauffassung des Beschwerdeführers teilen, einen verfahrensabschliessenden Endentscheid fällen könnte, ist Folgendes zu bemerken: Würde sich die Auffassung der Beschwerdeführerin, dass die eingeklagten Ansprüche verjährt seien, als zutreffend herausstellen, wäre die Klage - gemäss den Regeln des materiellen Rechts - abzuweisen und damit ein Endentscheid zu fällen. Allerdings stellt die Beschwerdeführerin in ihrer Beschwerde keinen Antrag auf Klageabweisung, sondern verlangt nur die Feststellung, dass der eingeklagte Anspruch verjährt sei. Bei Gutheissung der Beschwerde entscheidet das Bundesgericht in der Sache selbst oder weist diese zu neuer Beurteilung an die Vorinstanz zurück ( Art. 107 Abs. 2 Satz 1 BGG ). Gegebenenfalls erhebt es die Anträge des Beschwerdeführers zum Urteil. Dabei ist es an die Begehren der Parteien gebunden und darf nicht über diese hinausgehen ( Art. 107 Abs. 1 BGG ). Nachdem vorliegend kein Antrag auf Klageabweisung gestellt wird, ist fraglich, ob angenommen werden darf, bei Gutheissung der Beschwerde könnte ein Endentscheid gefällt, d.h. die Klage abgewiesen werden. Die Frage kann indessen offen bleiben, da es ohnehin an der zweiten, kumulativen Voraussetzung von Art. 93 Abs. 1 lit. b BGG mangelt.</w:t>
      </w:r>
    </w:p>
    <w:p>
      <w:r>
        <w:t>Mit Bezug auf diese ist zu differenzieren: Geht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118 II 91 E. 1a S. 92 mit Hinweis; Urteil 4A_48/2010 vom 9. Juli 2010 E. 1.3.2).</w:t>
      </w:r>
    </w:p>
    <w:p>
      <w:r>
        <w:t>Hinsichtlich dieser Voraussetzung bringt die Beschwerdeführerin nichts Konkretes vor. Sie behauptet lediglich, durch den Entscheid des Bundesgerichts würden sich die Abklärung anderer offener Rechtsfragen und eine umfangreiche Beweiserhebung erübrigen. Indessen nennt sie keinen einzigen Beweis, der - wenn es beim angefochtenen Entscheid bleiben sollte - noch zu erheben wäre und konkretisiert mit nichts, weshalb diesfalls ein bedeutender Aufwand an Zeit oder Kosten anfallen würde und das Beweisverfahren weitläufig wäre. Solches liegt denn auch in keiner Weise auf der Hand und geht nicht aus dem angefochtenen Entscheid hervor. Darin ist nicht die Rede davon, dass überhaupt ein Beweisverfahren durchzuführen sein würde, geschweige denn, dass ein solches weitläufig wäre und einen bedeutenden Aufwand an Zeit oder Kosten erfordern würde. So ist insbesondere nicht ersichtlich, dass etwa noch ein umfangreiches medizinisches Gutachten eingeholt werden müsste oder sonstige weitläufige Abklärungen zu tätigen wären.</w:t>
      </w:r>
    </w:p>
    <w:p>
      <w:r>
        <w:t>Die zweite Voraussetzung von Art. 93 Abs. 1 lit. b BGG ist nicht dargetan und kann nicht als gegeben betrachtet werden. Die Beschwerde erweist sich demnach als unzulässig, und es ist nicht auf sie einzutreten.</w:t>
      </w:r>
    </w:p>
    <w:p>
      <w:r>
        <w:rPr>
          <w:b/>
        </w:rPr>
        <w:t>E. 4</w:t>
      </w:r>
    </w:p>
    <w:p>
      <w:r>
        <w:t>Bei diesem Verfahrensausgang wird die Beschwerdeführerin kosten- und entschädigungspflichtig ( Art. 66 Abs. 1 und Art. 68 Abs. 2 BGG ). Das Gesuch des Beschwerdegegners um unentgeltliche Rechtspflege für das bundesgerichtliche Verfahren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