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4A_320/2024 vom 18. Juni 2024</w:t>
      </w:r>
    </w:p>
    <w:p>
      <w:r>
        <w:t>Bundesgericht, 2024-06-18, FR</w:t>
      </w:r>
    </w:p>
    <w:p>
      <w:r>
        <w:rPr>
          <w:b/>
        </w:rPr>
        <w:t xml:space="preserve">Quelle: </w:t>
      </w:r>
      <w:r>
        <w:t>https://mcp.opencaselaw.ch/entscheid/bger_4A_320_2024</w:t>
      </w:r>
    </w:p>
    <w:p>
      <w:r>
        <w:t>FR: TF 4A_320/2024 du 18 juin 2024</w:t>
      </w:r>
    </w:p>
    <w:p>
      <w:r>
        <w:t>IT: TF 4A_320/2024 del 18 giugno 2024</w:t>
      </w:r>
    </w:p>
    <w:p>
      <w:pPr>
        <w:pStyle w:val="Heading2"/>
      </w:pPr>
      <w:r>
        <w:t>Erwägungen</w:t>
      </w:r>
    </w:p>
    <w:p>
      <w:r>
        <w:rPr>
          <w:b/>
        </w:rPr>
        <w:t>E. 1</w:t>
      </w:r>
    </w:p>
    <w:p>
      <w:r>
        <w:t>Par ordonnance du 8 avril 2024, le Juge de paix du district de Lausanne, statuant sur la requête en cas clair introduite par les bailleurs B.________ Sàrl, C.________ et D.________ SA, a ordonné à la locataire A.________ Sàrl de quitter et rendre libres pour le 1er mai 2024 les locaux commerciaux qu'elle occupe dans un immeuble sis à..., et a chargé l'huissier de paix de procéder, sur requête des bailleurs, à l'exécution forcée de la décision si la locataire n'obtempérait pas.</w:t>
      </w:r>
    </w:p>
    <w:p>
      <w:r>
        <w:rPr>
          <w:b/>
        </w:rPr>
        <w:t>E. 2</w:t>
      </w:r>
    </w:p>
    <w:p>
      <w:r>
        <w:t>Statuant par arrêt du 3 mai 2024, la Cour d'appel civile du Tribunal cantonal du canton de Vaud a déclaré irrecevable l'appel interjeté par la locataire contre ladite ordonnance, faute de motivation suffisante.</w:t>
      </w:r>
    </w:p>
    <w:p>
      <w:r>
        <w:rPr>
          <w:b/>
        </w:rPr>
        <w:t>E. 3</w:t>
      </w:r>
    </w:p>
    <w:p>
      <w:r>
        <w:t>Le 24 mai 2024, la locataire (ci-après: la recourante) a recouru au Tribunal fédéral contre cet arrêt. Les bailleurs et l'autorité précédente n'ont pas été invités à répondre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Ces exigences ne sont manifestement pas satisfaites en l'espèce. La recourante ne démontre nullement en quoi la cour cantonale aurait enfreint le droit en déclarant irrecevable l'appel formé auprès d'elle. En effet, elle ne tente pas d'établir que l'autorité précédente aurait violé l'art. 311 al. 1 du Code de procédure civile suisse (CPC; RS 272), en jugeant que le mémoire d'appel ne respectait pas les exigences de motivation applicables. Le présent recours est dès lors manifestement irrecevable ce qu'il convient de constater selon la procédure simplifiée prévue par l' art. 108 al. 1 let. b LTF .</w:t>
      </w:r>
    </w:p>
    <w:p>
      <w:r>
        <w:rPr>
          <w:b/>
        </w:rPr>
        <w:t>E. 5</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