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320/2022 vom 23. August 2022</w:t>
      </w:r>
    </w:p>
    <w:p>
      <w:r>
        <w:t>Bundesgericht, 2022-08-23, DE</w:t>
      </w:r>
    </w:p>
    <w:p>
      <w:r>
        <w:rPr>
          <w:b/>
        </w:rPr>
        <w:t xml:space="preserve">Quelle: </w:t>
      </w:r>
      <w:r>
        <w:t>https://mcp.opencaselaw.ch/entscheid/bger_4A_320_2022</w:t>
      </w:r>
    </w:p>
    <w:p>
      <w:r>
        <w:t>FR: TF 4A 320/2022 du 23 août 2022</w:t>
      </w:r>
    </w:p>
    <w:p>
      <w:r>
        <w:t>IT: TF 4A 320/2022 del 23 agosto 2022</w:t>
      </w:r>
    </w:p>
    <w:p>
      <w:pPr>
        <w:pStyle w:val="Heading2"/>
      </w:pPr>
      <w:r>
        <w:t>Regeste</w:t>
      </w:r>
    </w:p>
    <w:p>
      <w:r>
        <w:t>Mieterausweisung, | Vertragsrecht</w:t>
      </w:r>
    </w:p>
    <w:p>
      <w:pPr>
        <w:pStyle w:val="Heading2"/>
      </w:pPr>
      <w:r>
        <w:t>Erwägungen</w:t>
      </w:r>
    </w:p>
    <w:p>
      <w:r>
        <w:rPr>
          <w:b/>
        </w:rPr>
        <w:t>E. 1</w:t>
      </w:r>
    </w:p>
    <w:p>
      <w:r>
        <w:t>Mit Entscheid vom 11. April 2022 verurteilte das Einzelgericht Audienz des Bezirksgerichts Zürich die Beschwerdeführerin, die von ihr gemieteten Gewerberäumlichkeiten im 3. Obergeschoss (ganzes Geschoss) der Liegenschaft U.________, V.________, sofort zu verlassen und dem Beschwerdegegner ordnungsgemäss geräumt und gereinigt zu übergeben. Mit Urteil vom 10. Juni 2022 wies das Obergericht des Kantons Zürich eine von der Beschwerdeführerin gegen diesen Entscheid erhobene Berufung ab, soweit es darauf eintrat. Mit Eingabe vom 18. Juli 2022 erklärte die Beschwerdeführerin dem Bundesgericht, das Urteil des Obergerichts des Kantons Zürich vom 10. Juni 2022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18. Juli 2022 nicht hinreichend mit den Erwägungen des angefochtenen Entscheids des Obergerichts des Kantons Zürich vom 10. Juni 2022 auseinander und zeigt nicht rechtsgenügend auf, inwiefern die Vorinstanz mit ihrem Entscheid Bundesrecht verletzt hätte. Stattdessen unterbreitet sie dem Bundesgericht unter Hinweis auf eine Beilage in unzulässiger Weise ihre Sicht der Dinge. Sie erwähnt zwar das Willkürverbot und die Begründungspflicht, zeigt jedoch nicht hinreichend auf, inwiefern der Vorinstanz eine Verletzung von Art. 9 oder Art. 29 Abs. 2 BV vorzuwerfen wäre. Die Eingabe vom 18. Juli 2022 erfüllt damit die erwähnten Begründungsanforderungen offensichtlich nicht. 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Dem Beschwerdegegner steht keine Parteientschädigung zu, da ihm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