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320/2021 vom 25. Juni 2021</w:t>
      </w:r>
    </w:p>
    <w:p>
      <w:r>
        <w:t>Bundesgericht, 2021-06-25, DE</w:t>
      </w:r>
    </w:p>
    <w:p>
      <w:r>
        <w:rPr>
          <w:b/>
        </w:rPr>
        <w:t xml:space="preserve">Quelle: </w:t>
      </w:r>
      <w:r>
        <w:t>https://mcp.opencaselaw.ch/entscheid/bger_4A_320_2021</w:t>
      </w:r>
    </w:p>
    <w:p>
      <w:r>
        <w:t>FR: TF 4A 320/2021 du 25 juin 2021</w:t>
      </w:r>
    </w:p>
    <w:p>
      <w:r>
        <w:t>IT: TF 4A 320/2021 del 25 giugno 2021</w:t>
      </w:r>
    </w:p>
    <w:p>
      <w:pPr>
        <w:pStyle w:val="Heading2"/>
      </w:pPr>
      <w:r>
        <w:t>Regeste</w:t>
      </w:r>
    </w:p>
    <w:p>
      <w:r>
        <w:t>Taggeldversicherung, | Vertragsrecht</w:t>
      </w:r>
    </w:p>
    <w:p>
      <w:pPr>
        <w:pStyle w:val="Heading2"/>
      </w:pPr>
      <w:r>
        <w:t>Erwägungen</w:t>
      </w:r>
    </w:p>
    <w:p>
      <w:r>
        <w:rPr>
          <w:b/>
        </w:rPr>
        <w:t>E. 1</w:t>
      </w:r>
    </w:p>
    <w:p>
      <w:r>
        <w:t>Mit Entscheid vom 11. Mai 2021 verpflichtete das Sozialversicherungsgericht des Kantons Zürich den Beschwerdeführer, der Beschwerdegegnerin zu Unrecht bezogene Taggelder in der Höhe von Fr. 8'243.95 zuzüglich Zins zu 5 % seit dem 23. April 2018 zurückzubezahlen sowie Bearbeitungsgebühren in der Höhe von Fr. 120.-- zu entrichten. Zudem hob es den Rechtsvorschlag in der Betreibung Nr. xxx des Betreibungsamts Zürich 12 (Zahlungsbefehl vom 17. August 2018) im genannten Umfang auf. Mit Eingabe vom 3. Juni 2021, die dem Bundesgericht mit Schreiben des Sozialversicherungsgerichts vom 7. Juni 2021 weitergeleitet wurde, erklärte der Beschwerdeführer dem Bundesgericht, den Entscheid des Sozialversicherungsgerichts vom 11. Mai 2021 mit Beschwerde anfechten zu wollen. 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Die Begründung hat ferner in der Beschwerdeschrift selbst zu erfolgen und der blosse Verweis auf Ausführungen in anderen Rechtsschriften oder auf die Akten reicht nicht aus ( BGE 143 II 283 E. 1.2.3; 140 III 115 E. 2 S. 116).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Der Beschwerdeführer geht in seiner Beschwerdeeingabe nicht hinreichend auf die Erwägungen des angefochtenen Entscheids ein. Er zitiert zwar verschiedenste Bestimmungen der Bundesverfassung (BV), des Datenschutzgesetzes (DSG), des Strafgesetzbuchs (StGB) sowie des Obligationenrechts (OR), zeigt jedoch nicht auf, inwiefern der Vorinstanz eine Verletzung dieser Bestimmungen vorzuwerfen wäre. Ein konkreter Zusammenhang mit den Erwägungen im angefochtenen Entscheid ist nicht erkennbar. Die Eingabe des Beschwerdeführers erfüllt die erwähnten Begründungsanforderungen offensichtlich nicht. 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Gesuch des Beschwerdeführers um Befreiung von diesen Kosten im bundesgerichtlichen Beschwerdeverfahren gegenstandslos wird. Die Beschwerdegegnerin, der aus dem bundesgerichtlichen Verfahren kein Aufwand erwachsen ist,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