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31/2010 vom 16. März 2010</w:t>
      </w:r>
    </w:p>
    <w:p>
      <w:r>
        <w:t>Bundesgericht, 2010-03-16, FR</w:t>
      </w:r>
    </w:p>
    <w:p>
      <w:r>
        <w:rPr>
          <w:b/>
        </w:rPr>
        <w:t xml:space="preserve">Quelle: </w:t>
      </w:r>
      <w:r>
        <w:t>https://mcp.opencaselaw.ch/entscheid/bger_4A_31_2010</w:t>
      </w:r>
    </w:p>
    <w:p>
      <w:r>
        <w:t>FR: TF 4A 31/2010 du 16 mars 2010</w:t>
      </w:r>
    </w:p>
    <w:p>
      <w:r>
        <w:t>IT: TF 4A 31/2010 del 16 marzo 2010</w:t>
      </w:r>
    </w:p>
    <w:p>
      <w:pPr>
        <w:pStyle w:val="Heading2"/>
      </w:pPr>
      <w:r>
        <w:t>Regeste</w:t>
      </w:r>
    </w:p>
    <w:p>
      <w:r>
        <w:t>contrat de travail; prohibition de concurrence | Droit des contrats</w:t>
      </w:r>
    </w:p>
    <w:p>
      <w:pPr>
        <w:pStyle w:val="Heading2"/>
      </w:pPr>
      <w:r>
        <w:t>Erwägungen</w:t>
      </w:r>
    </w:p>
    <w:p>
      <w:r>
        <w:rPr>
          <w:b/>
        </w:rPr>
        <w:t>E. 1.1</w:t>
      </w:r>
    </w:p>
    <w:p>
      <w:r>
        <w:t>interjeté par la partie demanderesse qui a entièrement succombé dans ses conclusions condamnatoires et qui a ainsi la qualité pour recourir ( art. 76 al. 1 LTF ), dirigé contre un arrêt final ( art. 90 LTF ) rendu en matière civile ( art. 72 al. 1 LTF ) par une autorité cantonale de dernière instance ( art. 75 LTF ) dans une affaire pécuniaire de droit du travail dont la valeur litigieuse atteint le seuil de 15'000 fr. de l'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127 consid. 1.5 p. 130, 397 consid. 1.5) - ou en violation du droit au sens de l' art. 95 LTF ( art. 105 al. 2 LTF ). Le recourant ne peut demander une correction de l'état de fait que si celle-ci est susceptible d'influer sur le sort de la cause ( art. 97 al. 1 LTF ).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 Les conclusions principales de la recourante, non chiffrées, sont irrecevables ( ATF 134 III 235 consid. 2). En revanche, les conclusions subsidiaires de cette dernière, qui tendent au paiement de 30'000 fr. en capital, sont recevables.</w:t>
      </w:r>
    </w:p>
    <w:p>
      <w:r>
        <w:rPr>
          <w:b/>
        </w:rPr>
        <w:t>E. 2</w:t>
      </w:r>
    </w:p>
    <w:p>
      <w:r>
        <w:t>La recourante fait grief aux magistrats vaudois d'avoir enfreint les art. 340 et 340a al. 2 CO . Elle se prévaut de la validité matérielle de la clause litigieuse de prohibition de concurrence, en déclarant que l'intimé, en travaillant auprès d'elle, a emmagasiné des connaissances spécifiques, lesquelles « dépassaient ce qui pouvait être acquis dans toutes les entreprises de la même branche ». A l'en croire, la référence faite par la cour cantonale au salaire moyen en Suisse pour juger de l'application de ladite clause est dénuée de pertinence. Tout au plus ce facteur pourrait jouer un rôle dans le cadre de la réduction de la peine convenue si la clause est transgressée. Elle soutient enfin que le risque potentiel de diffusion de secrets justifie que le défendeur soit astreint au versement de la sanction contractuelle convenue.</w:t>
      </w:r>
    </w:p>
    <w:p>
      <w:r>
        <w:rPr>
          <w:b/>
        </w:rPr>
        <w:t>E. 2.1</w:t>
      </w:r>
    </w:p>
    <w:p>
      <w:r>
        <w:t>A teneur de l' art. 340 al. 2 CO ,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Le travailleur doit ainsi être amené, dans le cadre des rapports de travail, à connaître la clientèle ou des secrets de fabrication ou d'affaires de l'employeur, à telle enseigne qu'en cas de rupture des rapports de travail, il puisse causer un préjudice à ce dernier en exploitant les éléments dont il a acquis connaissance en étant à son service. Le défaut de l'une de ces conditions cumulatives entraîne la nullité de la clause de prohibition de concurrence (Rémy Wyler, Droit du travail, 2e éd. 2008, p. 596 ss; Streiff/von Kaenel, Arbeitsvertrag, 6e éd., n° 4 ad art. 340 CO ). Pour être qualifiées de secrets d'affaires ou de fabrication, les connaissances acquises par le travailleur doivent toucher à des questions techniques, organisationnelles ou financières, qui sont spécifiques et que l'employeur veut garder secrètes. Les connaissances qui peuvent être obtenues dans toutes les entreprises de la même branche ressortissent à l'expérience professionnelle du travailleur et n'ont rien à voir avec des secrets. Il appartient à l'employeur d'établir que les connaissances litigieuses sont objectivement secrètes et qu'il entend qu'elles ne soient pas divulguées à l'extérieur de l'entreprise (arrêt C.491/86 du 1er décembre 1987 consid. 1, in SJ 1989 I p. 683; Florence Aubry Girardin, Aspects de la clause d'interdiction de concurrence, in Journée 1996 de droit du travail et de la sécurité sociale, Zurich 1999, p. 9/10; Gabriel Aubert, Commentaire romand, n° 3 ss ad art. 340 CO ).</w:t>
      </w:r>
    </w:p>
    <w:p>
      <w:r>
        <w:rPr>
          <w:b/>
        </w:rPr>
        <w:t>E. 2.2</w:t>
      </w:r>
    </w:p>
    <w:p>
      <w:r>
        <w:t>Il résulte des principes exposés ci-dessus qu'il est nécessaire, pour que les connaissances acquises par le travailleur au sein d'une entreprise soient qualifiées de secrets de fabrication, qu'il ait été formé à une technique de fabrication propre à l'entreprise qui l'employait. Rien de tel ne résulte des constatations cantonales, qui lient le Tribunal fédéral ( art. 105 al. 1 LTF ). On ne voit pas que l'intimé aurait été initié, lorsqu'il travaillait pour le compte de la demanderesse, à des innovations techniques inconnues des concurrents de celle-ci. Il a en effet été retenu que les appareils produits par la recourante le sont par application de la méthode Z.________ ®, laquelle est exploitée par de très nombreuses entreprises dans le monde. Autrement dit, la demanderesse n'a aucunement l'exclusivité du procédé de fabrication des appareils destinés à la santé humaine et animale qu'elle vend à sa clientèle. Du reste, selon les propres déclarations d'un ancien cadre de la demanderesse, le matériel piézo-électrique a connu peu d'évolutions ces derniers temps, exception faite du domaine de la stérilisation, pour lequel il est admis que l'intimé n'a aucune connaissance particulière. A défaut d'avoir été détenteur de secrets de fabrication ou d'affaires de son ancien employeur, la clause de prohibition de concurrence stipulée dans le contrat du travailleur est nulle. C'est donc à bon droit que les juges cantonaux ont rejeté les conclusions de la demanderesse.</w:t>
      </w:r>
    </w:p>
    <w:p>
      <w:r>
        <w:rPr>
          <w:b/>
        </w:rPr>
        <w:t>E. 3</w:t>
      </w:r>
    </w:p>
    <w:p>
      <w:r>
        <w:t>En définitive, le recours doit être rejeté dans la mesure de sa recevabilité. La recourante, qui succombe, paiera des frais judiciaires, qu'il convient d'arrêter, vu que la valeur litigieuse ne dépassait pas 30'000 fr., à 1'000 fr. en application de l' art. 65 al. 4 let . c LTF. La recourante versera encore des dépens à sa partie adverse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