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4A_319/2024 vom 4. Juli 2024</w:t>
      </w:r>
    </w:p>
    <w:p>
      <w:r>
        <w:t>Bundesgericht, 2024-07-04, DE</w:t>
      </w:r>
    </w:p>
    <w:p>
      <w:r>
        <w:rPr>
          <w:b/>
        </w:rPr>
        <w:t xml:space="preserve">Quelle: </w:t>
      </w:r>
      <w:r>
        <w:t>https://mcp.opencaselaw.ch/entscheid/bger_4A_319_2024</w:t>
      </w:r>
    </w:p>
    <w:p>
      <w:r>
        <w:t>FR: TF 4A_319/2024 du 4 juillet 2024</w:t>
      </w:r>
    </w:p>
    <w:p>
      <w:r>
        <w:t>IT: TF 4A_319/2024 del 4 luglio 2024</w:t>
      </w:r>
    </w:p>
    <w:p>
      <w:pPr>
        <w:pStyle w:val="Heading2"/>
      </w:pPr>
      <w:r>
        <w:t>Erwägungen</w:t>
      </w:r>
    </w:p>
    <w:p>
      <w:r>
        <w:rPr>
          <w:b/>
        </w:rPr>
        <w:t>E. 1</w:t>
      </w:r>
    </w:p>
    <w:p>
      <w:r>
        <w:t>Mit Entscheid vom 18. Januar 2024 wies das Bezirksgericht von Brig, Östlich-Raron und Goms in einem Rechtsöffnungsverfahren das Ausstandsgesuch des Beschwerdeführers gegen die Beschwerdegegnerin ab. Dagegen erhob der Beschwerdeführer Beschwerde an das Kantonsgericht Wallis. Er stellte vor Kantonsgericht erneut ein Ausstandgesuch gegen die Beschwerdegegnerin und ein zusätzliches Ausstandsgesuch gegen Kantonsrichter Seeberger. Mit Entscheid vom 16. Mai 2024 trat das Kantonsgericht auf die beiden Ausstandsgesuche und die Beschwerde nicht ein.</w:t>
      </w:r>
    </w:p>
    <w:p>
      <w:r>
        <w:t>Gegen diesen Entscheid erhebt der Beschwerdeführer mit der vom 23. Mai 2024 datierten Eingabe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legt darin bloss in frei gehaltenen Ausführungen seine Sicht der Dinge dar, ohne indessen auf die Erwägungen der Vorinstanz hinreichend konkret einzugehen, geschweige denn nachvollziehbar aufzuzeigen, inwiefern diese seine Rechte verletzt haben soll.</w:t>
      </w:r>
    </w:p>
    <w:p>
      <w:r>
        <w:t>Auf die Beschwerde ist somit mangels hinreichender Begründung nicht einzutreten ( Art. 108 Abs. 1 lit. b BGG ).</w:t>
      </w:r>
    </w:p>
    <w:p>
      <w:r>
        <w:rPr>
          <w:b/>
        </w:rPr>
        <w:t>E. 4</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