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4A_319/2015 vom 5. Januar 2016</w:t>
      </w:r>
    </w:p>
    <w:p>
      <w:r>
        <w:t>Bundesgericht, 2016-01-05, FR</w:t>
      </w:r>
    </w:p>
    <w:p>
      <w:r>
        <w:rPr>
          <w:b/>
        </w:rPr>
        <w:t xml:space="preserve">Quelle: </w:t>
      </w:r>
      <w:r>
        <w:t>https://mcp.opencaselaw.ch/entscheid/bger_4A_319_2015</w:t>
      </w:r>
    </w:p>
    <w:p>
      <w:r>
        <w:t>FR: TF 4A_319/2015 du 5 janvier 2016</w:t>
      </w:r>
    </w:p>
    <w:p>
      <w:r>
        <w:t>IT: TF 4A_319/2015 del 5 gennaio 2016</w:t>
      </w:r>
    </w:p>
    <w:p>
      <w:pPr>
        <w:pStyle w:val="Heading2"/>
      </w:pPr>
      <w:r>
        <w:t>Erwägungen</w:t>
      </w:r>
    </w:p>
    <w:p>
      <w:r>
        <w:rPr>
          <w:b/>
        </w:rPr>
        <w:t>E. 1</w:t>
      </w:r>
    </w:p>
    <w:p>
      <w:r>
        <w:t>D'après l' art. 54 al. 1 LTF , le Tribunal fédéral rédige son arrêt dans une langue officielle, en règle générale dans la langue de la décision attaquée. Lorsque cette décision a été rendue dans une autre langue (ici l'anglais), le Tribunal fédéral utilise la langue officielle choisie par les parties. Devant le Tribunal arbitral, celles-ci se sont servies de l'anglais, tandis que, dans les mémoires qu'elles ont adressés au Tribunal fédéral, elles ont employé toutes deux le français. Conformément à sa pratique, le Tribunal fédéral rendra, par conséquent, son arrêt en français.</w:t>
      </w:r>
    </w:p>
    <w:p>
      <w:r>
        <w:rPr>
          <w:b/>
        </w:rPr>
        <w:t>E. 2</w:t>
      </w:r>
    </w:p>
    <w:p>
      <w:r>
        <w:t>Dans le domaine de l'arbitrage international, le recours en matière civile est recevable contre les décisions de tribunaux arbitraux aux conditions fixées par les art. 190 à 192 LDIP ( art. 77 al. 1 let. a LTF ). Qu'il s'agisse de l'objet du recours, de la qualité pour recourir, du délai de recours ou encore des motifs de recours invoqués, aucune de ces conditions de recevabilité ne fait problème en l'espèce. Rien ne s'oppose donc à l'entrée en matière.</w:t>
      </w:r>
    </w:p>
    <w:p>
      <w:r>
        <w:rPr>
          <w:b/>
        </w:rPr>
        <w:t>E. 3</w:t>
      </w:r>
    </w:p>
    <w:p>
      <w:r>
        <w:t>La recourante a expressément retiré les griefs, tirés de la violation de l'interdiction de statuer</w:t>
      </w:r>
    </w:p>
    <w:p>
      <w:r>
        <w:t>ultra ou</w:t>
      </w:r>
    </w:p>
    <w:p>
      <w:r>
        <w:t>extra petita ( art. 190 al. 2 let . c LDIP), qu'elle avait formulés initialement en rapport avec les chiffres</w:t>
      </w:r>
    </w:p>
    <w:p>
      <w:r>
        <w:t>xv et</w:t>
      </w:r>
    </w:p>
    <w:p>
      <w:r>
        <w:t>xxvii de la sentence attaquée. Par conséquent, la Cour de céans n'examinera que le seul grief restant.</w:t>
      </w:r>
    </w:p>
    <w:p>
      <w:r>
        <w:rPr>
          <w:b/>
        </w:rPr>
        <w:t>E. 4</w:t>
      </w:r>
    </w:p>
    <w:p>
      <w:r>
        <w:t>Invoquant l' art. 190 al. 2 let . e LDIP, la recourante dénonce une violation de l'ordre public matériel en raison de l'atteinte prétendument portée par la sentence du 11 mai 2015 au principe de la fidélité contractuelle.</w:t>
      </w:r>
    </w:p>
    <w:p>
      <w:r>
        <w:rPr>
          <w:b/>
        </w:rPr>
        <w:t>E. 4.1</w:t>
      </w:r>
    </w:p>
    <w:p>
      <w:r>
        <w:t>Une sentence est contraire à l'ordre public matériel lorsqu'elle viole des principes fondamentaux du droit de fond au point de ne plus être conciliable avec l'ordre juridique et le système de valeurs déterminants; au nombre de ces principes figurent, notamment, la fidélité contractuelle, le respect des règles de la bonne foi, l'interdiction de l'abus de droit, la prohibition des mesures discriminatoires ou spoliatrices, ainsi que la protection des personnes civilement incapables ( ATF 132 III 389 consid. 2.2.1).</w:t>
      </w:r>
    </w:p>
    <w:p>
      <w:r>
        <w:t>Le principe de la fidélité contractuelle, rendu par l'adage</w:t>
      </w:r>
    </w:p>
    <w:p>
      <w:r>
        <w:t>pacta sunt servanda , au sens restrictif que lui donne la jurisprudence relative à l' art. 190 al. 2 let . e LDIP, n'est violé que si le tribunal arbitral refuse d'appliquer une clause contractuelle tout en admettant qu'elle lie les parties ou, à l'inverse, s'il leur impose le respect d'une clause dont il considère qu'elle ne les lie pas. En d'autres termes, le tribunal arbitral doit avoir appliqué ou refusé d'appliquer une disposition contractuelle en se mettant en contradiction avec le résultat de son interprétation à propos de l'existence ou du contenu de l'acte juridique litigieux. En revanche, le processus d'interprétation lui-même et les conséquences juridiques qui en sont logiquement tirées ne sont pas régis par le principe de la fidélité contractuelle, de sorte qu'ils ne sauraient prêter le flanc au grief de violation de l'ordre public. Le Tribunal fédéral a souligné à maintes reprises que la quasi-totalité du contentieux dérivé de la violation du contrat est exclue du champ de protection du principe</w:t>
      </w:r>
    </w:p>
    <w:p>
      <w:r>
        <w:t>pacta sunt servanda (arrêt 4A_634/2014 du 21 mai 2015 consid. 5.1.1).</w:t>
      </w:r>
    </w:p>
    <w:p>
      <w:r>
        <w:rPr>
          <w:b/>
        </w:rPr>
        <w:t>E. 4.2.1</w:t>
      </w:r>
    </w:p>
    <w:p>
      <w:r>
        <w:t>Dans la procédure arbitrale, la recourante, se fondant sur une disposition particulière d'une loi ressortissant au droit public..., a réclamé à l'intimée le paiement de la somme précitée de... à titre de pénalité. Le Tribunal arbitral, dans sa majorité, a jugé que les conditions d'application de cette disposition étaient en principe réalisées, mais que l'application de deux articles du Code civil... justifiait d'écarter la prétention litigieuse (sentence, n. 1683 à 1695).</w:t>
      </w:r>
    </w:p>
    <w:p>
      <w:r>
        <w:t>Forte de l'avis de l'arbitre minoritaire résumé dans le corps de la sentence (n. 1696 et 1697), la recourante, soulignant le caractère impératif de la disposition légale que les deux arbitres majoritaires ont renoncé à appliquer et plaidant l'inapplicabilité,</w:t>
      </w:r>
    </w:p>
    <w:p>
      <w:r>
        <w:t>in casu, des dispositions du Code civil... invoquées par ces derniers, reproche au Tribunal arbitral d'avoir violé le principe</w:t>
      </w:r>
    </w:p>
    <w:p>
      <w:r>
        <w:t>pacta sunt servanda et, plus généralement, d'avoir rendu une sentence incompatible avec l'ordre public matériel.</w:t>
      </w:r>
    </w:p>
    <w:p>
      <w:r>
        <w:rPr>
          <w:b/>
        </w:rPr>
        <w:t>E. 4.2.2</w:t>
      </w:r>
    </w:p>
    <w:p>
      <w:r>
        <w:t>Semblable argumentation est tout à fait impropre à établir une quelconque incompatibilité de la sentence incriminée avec l'ordre public matériel au sens de l' art. 190 al. 2 let . e LDIP, tel qu'interprété par la jurisprudence susmentionnée, et singulièrement au regard du principe de la fidélité contractuelle.</w:t>
      </w:r>
    </w:p>
    <w:p>
      <w:r>
        <w:t>D'abord, la recourante oublie, lorsqu'elle fait sien l'avis de l'arbitre minoritaire, qu'une opinion dissidente ne fait pas partie de la sentence, qu'elle y ait été formellement intégrée ou non, si bien qu'elle demeure un avis indépendant n'ayant aucune portée juridique propre (arrêt 4P.23/1991 du 25 mai 1992 consid. 2b et les références; voir aussi l'arrêt 4A_584/2009 du 18 mars 2010 consid. 3.3). Cette remarque vaut aussi en ce qui concerne l'argument tiré de la prétendue mauvaise foi de l'intimée, s'agissant du moment où celle-ci avait formulé des demandes d'acomptes supplémentaires (recours, n. 47), argument que la recourante fonde également sur l'opinion dissidente exprimée à ce propos par l'arbitre minoritaire (sentence, n. 1697).</w:t>
      </w:r>
    </w:p>
    <w:p>
      <w:r>
        <w:t>Ensuite, le caractère "impératif" ou de "règle légale stricte" de la disposition du droit public... entrant en ligne de compte n'est nullement démontré par la recourante, laquelle ne fait que reprendre le qualificatif "</w:t>
      </w:r>
    </w:p>
    <w:p>
      <w:r>
        <w:t>mandatory " utilisé par l'arbitre minoritaire sans accompagner pareil renvoi de références jurisprudentielles et/ou doctrinales.</w:t>
      </w:r>
    </w:p>
    <w:p>
      <w:r>
        <w:t>Enfin et surtout, quand bien même la nature juridique de cette disposition correspondrait à celle que lui prête la recourante, cette dernière ne pourrait rien en tirer en sa faveur. C'est, en effet, le lieu de rappeler que le motif de recours prévu par l' art. 190 al. 2 let . e LDIP ne vise pas à sanctionner le défaut d'application ou la mauvaise application du droit étranger applicable au fond du litige, fût-il impératif ( ATF 132 III 389 consid. 2.2.2 p. 394).</w:t>
      </w:r>
    </w:p>
    <w:p>
      <w:r>
        <w:t>Cela étant, le présent recours ne peut qu'être rejeté.</w:t>
      </w:r>
    </w:p>
    <w:p>
      <w:r>
        <w:rPr>
          <w:b/>
        </w:rPr>
        <w:t>E. 5</w:t>
      </w:r>
    </w:p>
    <w:p>
      <w:r>
        <w:t>La recourante, qui succombe, devra payer les frais de la procédure fédérale ( art. 66 al. 1 LTF ) et verser des dépens à l'intimée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