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4A_318/2019 vom 18. Juli 2019</w:t>
      </w:r>
    </w:p>
    <w:p>
      <w:r>
        <w:t>Bundesgericht, 2019-07-18, DE</w:t>
      </w:r>
    </w:p>
    <w:p>
      <w:r>
        <w:rPr>
          <w:b/>
        </w:rPr>
        <w:t xml:space="preserve">Quelle: </w:t>
      </w:r>
      <w:r>
        <w:t>https://mcp.opencaselaw.ch/entscheid/bger_4A_318_2019</w:t>
      </w:r>
    </w:p>
    <w:p>
      <w:r>
        <w:t>FR: TF 4A_318/2019 du 18 juillet 2019</w:t>
      </w:r>
    </w:p>
    <w:p>
      <w:r>
        <w:t>IT: TF 4A_318/2019 del 18 luglio 2019</w:t>
      </w:r>
    </w:p>
    <w:p>
      <w:pPr>
        <w:pStyle w:val="Heading2"/>
      </w:pPr>
      <w:r>
        <w:t>Volltext</w:t>
      </w:r>
    </w:p>
    <w:p>
      <w:r>
        <w:t>Bundesgericht</w:t>
      </w:r>
    </w:p>
    <w:p>
      <w:r>
        <w:t>Tribunal fédéral</w:t>
      </w:r>
    </w:p>
    <w:p>
      <w:r>
        <w:t>Tribunale federale</w:t>
      </w:r>
    </w:p>
    <w:p>
      <w:r>
        <w:t>Tribunal federal</w:t>
      </w:r>
    </w:p>
    <w:p>
      <w:r>
        <w:t>4A_318/2019</w:t>
      </w:r>
    </w:p>
    <w:p>
      <w:r>
        <w:t>Urteil vom 18. Juli 2019</w:t>
      </w:r>
    </w:p>
    <w:p>
      <w:r>
        <w:t>I. zivilrechtliche Abteilung</w:t>
      </w:r>
    </w:p>
    <w:p>
      <w:r>
        <w:t>Besetzung</w:t>
      </w:r>
    </w:p>
    <w:p>
      <w:r>
        <w:t>Bundesrichterin Kiss, Präsidentin,</w:t>
      </w:r>
    </w:p>
    <w:p>
      <w:r>
        <w:t>Gerichtsschreiber Leemann.</w:t>
      </w:r>
    </w:p>
    <w:p>
      <w:r>
        <w:t>Verfahrensbeteiligte</w:t>
      </w:r>
    </w:p>
    <w:p>
      <w:r>
        <w:t>A.________ AG,</w:t>
      </w:r>
    </w:p>
    <w:p>
      <w:r>
        <w:t>vertreten durch Advokat Dr. Jascha Schneider-Marfels,</w:t>
      </w:r>
    </w:p>
    <w:p>
      <w:r>
        <w:t>Beschwerdeführerin,</w:t>
      </w:r>
    </w:p>
    <w:p>
      <w:r>
        <w:t>gegen</w:t>
      </w:r>
    </w:p>
    <w:p>
      <w:r>
        <w:t>B.________ B.V.,</w:t>
      </w:r>
    </w:p>
    <w:p>
      <w:r>
        <w:t>vertreten durch Advokaten Dr. Reto Vonzun und Benjamin Suter,</w:t>
      </w:r>
    </w:p>
    <w:p>
      <w:r>
        <w:t>Beschwerdegegnerin.</w:t>
      </w:r>
    </w:p>
    <w:p>
      <w:r>
        <w:t>Gegenstand</w:t>
      </w:r>
    </w:p>
    <w:p>
      <w:r>
        <w:t>Anfechtung von Beschlüssen der Generalversammlung,</w:t>
      </w:r>
    </w:p>
    <w:p>
      <w:r>
        <w:t>Beschwerde gegen den Entscheid des Kantonsgerichts Basel-Landschaft, Abteilung Zivilrecht, vom 2. April 2019 (400 18 344 [B 71], 150 2017 2981 II).</w:t>
      </w:r>
    </w:p>
    <w:p>
      <w:r>
        <w:t>In Erwägung,</w:t>
      </w:r>
    </w:p>
    <w:p>
      <w:r>
        <w:t>dass das Zivilkreisgericht Basel-Landschaft West mit Entscheid vom 21. September 2018 eine von der Beschwerdegegnerin erhobene Klage auf Feststellung der Nichtigkeit der Beschlüsse der ausserordentlichen Generalversammlung der Beschwerdeführerin vom 29. März 2017 abwies;</w:t>
      </w:r>
    </w:p>
    <w:p>
      <w:r>
        <w:t>dass das Kantonsgericht Basel-Landschaft mit Entscheid vom 2. April 2019 eine von der Beschwerdegegnerin gegen diesen Entscheid erhobene Berufung guthiess, den Entscheid des Zivilkreisgerichts Basel-Landschaft West vom 21. September 2018 aufhob und die Sache zur Neubeurteilung an das Zivilkreisgericht zurückwies;</w:t>
      </w:r>
    </w:p>
    <w:p>
      <w:r>
        <w:t>dass die Beschwerdeführerin dem Bundesgericht mit Eingabe vom 21. Juni 2019 erklärte, den Entscheid des Kantonsgerichts Basel-Landschaft vom 2. April 2019 mit Beschwerde anfechten zu wollen;</w:t>
      </w:r>
    </w:p>
    <w:p>
      <w:r>
        <w:t>dass es sich beim angefochtenen Rückweisungsentscheid des Kantonsgerichts Basel-Landschaft um einen Zwischenentscheid im Sinne von Art. 92 f. BGG handelt, der das Verfahren in der Hauptsache nicht abschliesst ( BGE 141 III 395 E. 2.2; 135 III 212 E. 1.2, 329 E. 1.2; 135 V 141 E. 1.1 mit Hinweis);</w:t>
      </w:r>
    </w:p>
    <w:p>
      <w:r>
        <w:t>dass gegen selbständig eröffnete Zwischenentscheide, die - wie vorliegend - weder die Zuständigkeit noch den Ausstand betreffen (vgl. Art. 92 BGG ), die Beschwerde nur zulässig ist,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w:t>
      </w:r>
    </w:p>
    <w:p>
      <w:r>
        <w:t>dass die selbständige Anfechtbarkeit von Zwischenentscheiden aus prozessökonomischen Gründen eine Ausnahme vom Grundsatz bildet, dass sich das Bundesgericht mit jeder Angelegenheit nur einmal befassen soll ( BGE 144 III 475 E. 1.2; 141 III 80 E. 1.2 S. 81; 134 III 188 E. 2.2; 133 III 629 E. 2.1);</w:t>
      </w:r>
    </w:p>
    <w:p>
      <w:r>
        <w:t>dass diese Ausnahme restriktiv zu handhaben ist,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S. 95 ; 135 I 261 E. 1.2; 134 III 188 E. 2.2; 133 III 629 E. 2.1; 133 IV 288 E. 3.2);</w:t>
      </w:r>
    </w:p>
    <w:p>
      <w:r>
        <w:t>dass es der beschwerdeführenden Partei obliegt darzutun, dass die Voraussetzungen für eine ausnahmsweise Anfechtbarkeit eines Zwischenentscheids erfüllt sind, soweit deren Vorliegen nicht offensichtlich in die Augen springt ( BGE 142 III 798 E. 2.2 S. 801; 141 III 80 E. 1.2 S. 81; 138 III 46 E. 1.2 S. 47; 137 III 324 E. 1.1 S. 328 f.; 133 III 629 E. 2.3.1);</w:t>
      </w:r>
    </w:p>
    <w:p>
      <w:r>
        <w:t>dass sich die Beschwerdeführerin nicht zu den Eintretensvoraussetzungen nach Art. 93 Abs. 1 BGG äussert und deren Vorliegen auch nicht offensichtlich in die Augen springt;</w:t>
      </w:r>
    </w:p>
    <w:p>
      <w:r>
        <w:t>dass sich die Beschwerde demnach als offensichtlich unzulässig erweist, weshalb darauf im vereinfachten Verfahren gemäss Art. 108 Abs. 1 lit. a BGG nicht einzutreten ist;</w:t>
      </w:r>
    </w:p>
    <w:p>
      <w:r>
        <w:t>dass die Beschwerdeführerin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500.-- werden der Beschwerdeführerin auferlegt.</w:t>
      </w:r>
    </w:p>
    <w:p>
      <w:r>
        <w:t>3.</w:t>
      </w:r>
    </w:p>
    <w:p>
      <w:r>
        <w:t>Es wird keine Parteientschädigung zugesprochen.</w:t>
      </w:r>
    </w:p>
    <w:p>
      <w:r>
        <w:t>4.</w:t>
      </w:r>
    </w:p>
    <w:p>
      <w:r>
        <w:t>Dieses Urteil wird den Parteien und dem Kantonsgericht Basel-Landschaft, Abteilung Zivilrecht, schriftlich mitgeteilt.</w:t>
      </w:r>
    </w:p>
    <w:p>
      <w:r>
        <w:t>Lausanne, 18. Juli 2019</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