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318/2017 vom 28. August 2017</w:t>
      </w:r>
    </w:p>
    <w:p>
      <w:r>
        <w:t>Bundesgericht, 2017-08-28, FR</w:t>
      </w:r>
    </w:p>
    <w:p>
      <w:r>
        <w:rPr>
          <w:b/>
        </w:rPr>
        <w:t xml:space="preserve">Quelle: </w:t>
      </w:r>
      <w:r>
        <w:t>https://mcp.opencaselaw.ch/entscheid/bger_4A_318_2017</w:t>
      </w:r>
    </w:p>
    <w:p>
      <w:r>
        <w:t>FR: TF 4A 318/2017 du 28 août 2017</w:t>
      </w:r>
    </w:p>
    <w:p>
      <w:r>
        <w:t>IT: TF 4A 318/2017 del 28 agosto 2017</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 mémoire qu'il a adressé au Tribunal fédéral, le recourant a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ou encore du grief soulevé dans le mémoire de recours, aucune de ces conditions de recevabilité ne fait problème en l'espèce. Rien ne s'oppose donc à l'entrée en matière. Force est, toutefois, de constater d'emblée l'irrecevabilité, faute de toute motivation sur ce point ( art. 77 al. 3 LTF ), de la conclusion par laquelle le recourant demande que l'intimé soit condamné à lui verser la somme de 300'000 USD.</w:t>
      </w:r>
    </w:p>
    <w:p>
      <w:r>
        <w:rPr>
          <w:b/>
        </w:rPr>
        <w:t>E. 3</w:t>
      </w:r>
    </w:p>
    <w:p>
      <w:r>
        <w:t>En premier lieu, le recourant se plaint de la violation de son droit d'être entendu.</w:t>
      </w:r>
    </w:p>
    <w:p>
      <w:r>
        <w:rPr>
          <w:b/>
        </w:rPr>
        <w:t>E. 3.1</w:t>
      </w:r>
    </w:p>
    <w:p>
      <w:r>
        <w:t>Le droit d'être entendu, tel qu'il est garanti par les art. 182 al. 3 et 190 al. 2 let. d LDIP,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En revanche, le droit d'être entendu n'englobe pas le droit de s'exprimer oralement. De même n'exige-t-il pas qu'une sentence arbitrale internationale soit motivée. Toutefois,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précédents cités).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et de droit qu'elle avait régulièrement avancés à l'appui de ses conclusions et, d'autre part, que ces éléments étaient de nature à influer sur le sort du litige. Pareille démonstration se fera sur le vu des motifs énoncés dans la sentence attaquée (même arrêt, consid. 4.1.3).</w:t>
      </w:r>
    </w:p>
    <w:p>
      <w:r>
        <w:rPr>
          <w:b/>
        </w:rPr>
        <w:t>E. 3.2</w:t>
      </w:r>
    </w:p>
    <w:p>
      <w:r>
        <w:t>A l'appui de ce grief, le recourant affirme avoir souligné à plusieurs reprises, au cours de l'audience du 23 janvier 2017, en expliquant aux arbitres les particularités du droit zzz relatif à ce type de contrat de travail, que les montants dus à l'intimé au titre de la rémunération de ses services, "étaient bruts et imposables", si bien qu'ils "devaient être ponctionnés de 20% de taxes comme il est de coutume en ZZZ". Constatant que le TAS a ignoré cette problématique dans sa sentence, il lui impute une violation de son devoir minimum d'examiner et de traiter les problèmes pertinents.</w:t>
      </w:r>
    </w:p>
    <w:p>
      <w:r>
        <w:rPr>
          <w:b/>
        </w:rPr>
        <w:t>E. 3.3</w:t>
      </w:r>
    </w:p>
    <w:p>
      <w:r>
        <w:t>Ainsi formulé, le grief en question ne saurait prospérer pour diverses raisons. Force est de constater, d'abord, que la sentence attaquée ne fait aucune allusion à l'argument avancé par le recourant. Sans doute n'est-ce pas là une circonstance décisive, car c'est précisément ce dont se plaint le recourant. Il sied de noter, pourtant, que la référence faite par l'intéressé audit argument manque singulièrement de précision quant au moment où les explications y relatives auraient été apportées, si bien que, à défaut d'un verbatim de l'audience du 23 janvier 2017, le Tribunal fédéral devrait écouter attentivement l'enregistrement de celle-ci pour tenter d'y déceler le prétendu argument, ce qui, de toute évidence, n'est pas son rôle lorsqu'il statue sur un recours en matière d'arbitrage international. Cette remarque liminaire mise à part, il convient de souligner, en outre, que, dans sa description des faits pertinents et, singulièrement, des clauses du contrat touchant la rémunération des services de l'intimé, le TAS ne fait aucune mention d'une éventuelle imputation qui aurait dû être faite, en vertu de la convention ou de par la loi, sur le salaire stipulé dans le contrat de travail du 1er septembre 2012 (cf. sentence, n. 6). Or, le Tribunal fédéral doit s'en tenir aux faits constatés dans la sentence entreprise (arrêt 4A_668/2016 du 24 juillet 2017 consid. 2.2). De plus, l'applicabilité du droit zzz ne va pas de soi en l'espèce, puisqu'aussi bien le TAS a estimé devoir juger l'affaire conformément aux règlements de la FIFA et, subsidiairement, au droit suisse (sentence, n. 68). Enfin et surtout, l'argument en cause, à supposer qu'il ait été effectivement avancé au cours de l'audience du 23 janvier 2017, l'aurait été tardivement, ce qui aurait entraîné de toute façon son irrecevabilité. En effet, selon l'art. R56 al. 1 du Code, sauf accord contraire des parties ou décision contraire du président ou de la présidente de la Formation commandée par des circonstances exceptionnelles, les parties ne sont pas admises à compléter ou modifier leurs conclusions ou leur argumentation, ni à produire de nouvelles pièces, ni à formuler de nouvelles offres de preuves après la soumission de la motivation de l'appel et de la réponse. A cet égard, la jurisprudence du TAS a précisé que, lorsque, comme en l'espèce, l'appelant renonce à déposer un mémoire d'appel au sens de l'art. R51 du Code après avoir soumis au TAS la déclaration d'appel visée par l'art. R48 du Code, l'interdiction formulée à l'art. R56 al. 1 du Code débute à partir du dépôt de cette dernière écriture (MAVROMATI/REEB, The Code of the Court of Arbitration for Sport, Commentary, Cases and Materials, 2015, n° 3 ad art. R56 du Code et la sentence citée p. 496, note de pied 2). Comme aucune des deux exceptions réservées par cette dernière disposition n'est invoquée in casu , le moyen soulevé (par hypothèse) lors de la susdite audience au sujet de la déduction à opérer sur le salaire brut de l'intimé en vertu du droit zzz n'eût pas été recevable. Dès lors, sur le vu des principes jurisprudentiels rappelés plus haut (cf. consid. 3.1, second par.), le recourant ne saurait se plaindre du fait que le TAS n'a pas examiné un argument qui ne lui avait pas été régulièrement soumis par la partie appelante.</w:t>
      </w:r>
    </w:p>
    <w:p>
      <w:r>
        <w:rPr>
          <w:b/>
        </w:rPr>
        <w:t>E. 4.1</w:t>
      </w:r>
    </w:p>
    <w:p>
      <w:r>
        <w:t>Au titre de la violation de l'ordre public ( art. 190 al. 2 let . e LDIP), le recourant commence par expliquer le contenu de cette notion, en précisant qu'elle inclut aussi les règles de la bonne foi. Au terme de cet exposé théorique, il ajoute ceci: "[I]l est flagrant, à la lecture de la sentence, que le Tribunal arbitral a appliqué les règles de la bonne foi de manière parfaitement contradictoire". Semblable affirmation ne permet pas à la Cour de céans de comprendre ce que le recourant reproche au TAS, en particulier où résiderait l'application totalement contradictoire des règles de la bonne foi imputée à la juridiction arbitrale sportive. Le recours est, partant, irrecevable sur ce point.</w:t>
      </w:r>
    </w:p>
    <w:p>
      <w:r>
        <w:rPr>
          <w:b/>
        </w:rPr>
        <w:t>E. 4.2</w:t>
      </w:r>
    </w:p>
    <w:p>
      <w:r>
        <w:t>En dernier lieu, le recourant fait grief au TAS d'avoir violé le principe de la fidélité contractuelle. Le principe en question, rendu par l'adage 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4A_50/2017 du 11 juillet 2017 consid. 4.2.1). Le recourant fait valoir, au soutien de cet ultime grief, que le TAS a erronément refusé d'appliquer la clause contractuelle "qui prévoyait le paiement de sommes brutes, imposables au regard des us et coutumes zzz". Outre qu'elle repose sur une base factuelle qui n'a pas été retenue dans la sentence attaquée (cf. consid. 3.3 ci-dessus), l'argumentation du recourant n'a rien à voir avec le sens particulier que la jurisprudence précitée donne au principe de la fidélité contractuelle. Au regard de ce principe, il suffit de constater, pour en exclure ici l'application, que le TAS n'a pas refusé d'imputer sur le salaire brut dû par le recourant à l'intimé des taxes dont il aurait reconnu préalablement qu'elles s'appliquaient en l'espèce selon les us et coutumes zzz.</w:t>
      </w:r>
    </w:p>
    <w:p>
      <w:r>
        <w:rPr>
          <w:b/>
        </w:rPr>
        <w:t>E. 5</w:t>
      </w:r>
    </w:p>
    <w:p>
      <w:r>
        <w:t>D'où il suit que le présent recours ne peut qu'être rejeté dans la mesure de sa recevabilité. Le recourant, qui succombe, sera, dès lors, condamné à payer les frais de la procédure fédérale ( art. 66 al. 1 LTF ). N'ayant pas été invité à déposer une réponse, l'intimé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