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4A_318/2014 vom 6. Oktober 2014</w:t>
      </w:r>
    </w:p>
    <w:p>
      <w:r>
        <w:t>Bundesgericht, 2014-10-06, DE</w:t>
      </w:r>
    </w:p>
    <w:p>
      <w:r>
        <w:rPr>
          <w:b/>
        </w:rPr>
        <w:t xml:space="preserve">Quelle: </w:t>
      </w:r>
      <w:r>
        <w:t>https://mcp.opencaselaw.ch/entscheid/bger_4A_318_2014</w:t>
      </w:r>
    </w:p>
    <w:p>
      <w:r>
        <w:t>FR: TF 4A_318/2014 du 6 octobre 2014</w:t>
      </w:r>
    </w:p>
    <w:p>
      <w:r>
        <w:t>IT: TF 4A_318/2014 del 6 ottobre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Auf eine Kritik an den tatsächlichen Feststellungen der Vorinstanz, die diesen Anforderungen nicht genügt, ist nicht einzutreten ( BGE 140 III 86 E. 2 S. 90; 133 II 249 E. 1.4.3 S. 255).</w:t>
      </w:r>
    </w:p>
    <w:p>
      <w:r>
        <w:rPr>
          <w:b/>
        </w:rPr>
        <w:t>E. 1.4</w:t>
      </w:r>
    </w:p>
    <w:p>
      <w:r>
        <w:t>Die Beschwerde lässt teilweise keine Auseinandersetzung mit den konkreten Erwägungen im angefochtenen Entscheid erkennen; vielmehr unterbreitet der Beschwerdeführer dem Bundesgericht mitunter losgelöst vom Urteil der Vorinstanz seinen Standpunkt, wonach ihm verrechenbare Gegenforderungen zustünden und die Klage gutzuheissen sei, als ob das Bundesgericht die Streitsache von Grund auf neu beurteilen könnte. Damit verfehlt er die erwähnten Anforderungen an eine hinreichend begründete Beschwerde.</w:t>
      </w:r>
    </w:p>
    <w:p>
      <w:r>
        <w:t>Soweit der Beschwerdeführer seine Rügen auf einen Sachverhalt stützt, der von den verbindlichen Feststellungen der Vorinstanz abweicht, ist er nicht zu hören. Da die Beschwerdeschrift in unzulässiger Weise tatsächliche und rechtliche Vorbringen vermengt, ist auf seine Vorbringen nur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2</w:t>
      </w:r>
    </w:p>
    <w:p>
      <w:r>
        <w:t>Der Beschwerdeführer bringt vor, die Vorinstanz hätte bei korrekter Auslegung des Darlehensvertrags vom 31. Dezember 2008 zwischen dem Beschwerdegegner und der C.________ AG nach dem Vertrauensprinzip zum Schluss kommen müssen, dass dem Beschwerdeführer noch eine Forderung in der Höhe von Fr. 100'000.-- aus dem Aktionärbindungsvertrag vom 25. Juni 2008 zustehe.</w:t>
      </w:r>
    </w:p>
    <w:p>
      <w:r>
        <w:rPr>
          <w:b/>
        </w:rPr>
        <w:t>E. 2.1</w:t>
      </w:r>
    </w:p>
    <w:p>
      <w:r>
        <w:t>Nach den Sachverhaltsfeststellungen im angefochtenen Entscheid unterzeichneten der Beschwerdeführer und der Beschwerdegegner am 25. Juni 2008 eine als "Individual Shareholder Agreement" bezeichnete Vereinbarung. Danach sollte der Beschwerdegegner insgesamt 5'000 Aktien (entsprechend 10 % des Aktienkapitals) erwerben; im Gegenzug hatte er der C.________ AG oder dem Gründer, d.h. dem Beschwerdeführer, ein Darlehen von EUR 1 Mio. zu gewähren.</w:t>
      </w:r>
    </w:p>
    <w:p>
      <w:r>
        <w:t>Am 31. Dezember 2008 schlossen die C.________ AG als Darlehensnehmerin und der Beschwerdegegner als Darlehensgeber einen Darlehensvertrag ab, mit dem der C.________ AG ein unverzinsliches Darlehen von Fr. 1.5 Mio. gewährt wurde. Im Vertrag wird unter anderem festgehalten, dass die Darlehensnehmerin mit ihrer Unterschrift den Erhalt des Darlehensbetrags in zwei Tranchen am 26. Juni 2008 (Fr. 1 Mio.) und am 18. Dezember 2008 (Fr. 0.5 Mio.) bestätigt.</w:t>
      </w:r>
    </w:p>
    <w:p>
      <w:r>
        <w:t>Die Vorinstanz erachtete die Behauptung des Beschwerdeführers als nicht erwiesen, es sei mündlich vereinbart worden, dass die Zahlung des im Individual Shareholder Agreement erwähnten Darlehensbetrags von EUR 1 Mio. zu einem Wechselkurs von Fr. 1.60 pro EUR zu erfolgen habe, womit insgesamt Fr. 1.6 Mio. als Darlehen zu entrichten gewesen wären und daher ein Teilbetrag von Fr. 100'000.-- offen geblieben sei. Das Gericht ging vielmehr davon aus, dass die Parteien die im Individual Shareholder Agreement begründete Verpflichtung zur Gewährung eines Darlehens von EUR 1 Mio. mit Abschluss des Darlehensvertrags vom 31. Dezember 2008 und Auszahlung des darin festgehaltenen Betrags von Fr. 1.5 Mio. als erfüllt ansahen. Die C.________ AG habe schriftlich bestätigt, das Darlehen über Fr. 1.5 Mio. in zwei Tranchen erhalten zu haben. Die Vorinstanz hielt zudem insbesondere fest, der geschäftserfahrene Beschwerdeführer hätte als Vertreter der C.________ AG beim Abschluss des Darlehensvertrags vom 31. Dezember 2008 auf einen entsprechenden Vorbehalt im Vertragstext bestanden, wäre er nach Berücksichtigung des Vertragsschlusses tatsächlich von einem noch offenen Betrag von Fr. 100'000.-- ausgegangen. Dies sei jedoch nicht geschehen, vielmehr habe er sich bzw. habe sich die von ihm vertretene C.________ AG mit der Zahlung von Fr. 1.5 Mio. zufrieden gegeben.</w:t>
      </w:r>
    </w:p>
    <w:p>
      <w:r>
        <w:rPr>
          <w:b/>
        </w:rPr>
        <w:t>E. 2.2.1</w:t>
      </w:r>
    </w:p>
    <w:p>
      <w:r>
        <w:t>Der Inhalt eines Vertrags bestimmt sich in erster Linie nach dem übereinstimmenden wirklichen Parteiwillen (vgl. Art. 18 Abs. 1 OR ). Diese subjektive Vertragsauslegung beruht auf Beweiswürdigung, die vorbehältlich der Ausnahmen von Art. 97 und Art.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132 III 626 E. 3.1; je mit Hinweisen). Dabei ist der Zeitpunkt des Vertragsschlusses massgebend, weshalb bei der Auslegung nach dem Vertrauensprinzip nachträgliches Parteiverhalten nicht von Bedeutung ist ( BGE 132 III 626 E. 3.1; 129 III 675 E. 2.3 S. 680).</w:t>
      </w:r>
    </w:p>
    <w:p>
      <w:r>
        <w:rPr>
          <w:b/>
        </w:rPr>
        <w:t>E. 2.2.2</w:t>
      </w:r>
    </w:p>
    <w:p>
      <w:r>
        <w:t>Der Beschwerdeführer verkennt mit seinen Vorbringen, dass es sich bei den erwähnen Ausführungen der Vorinstanz nicht um eine normative, sondern um eine subjektive Vertragsauslegung handelt. Die Vorinstanz hat auf einen tatsächlichen übereinstimmenden Willen der Parteien im Zeitpunkt des Abschlusses des Darlehensvertrags vom 31. Dezember 2008 geschlossen, damit die Verpflichtungen aus dem Individual Shareholder Agreement vom 25. Juni 2008 hinsichtlich der Darlehensgewährung zu erfüllen. Bezeichnenderweise beruft sich der Beschwerdeführer, indem er das von ihm verfasste E-Mail vom 13. August 2009 ins Feld führt, selber auf nachträgliches Parteiverhalten, das allenfalls - im Rahmen der Beweiswürdigung - auf einen tatsächlichen Willen der Parteien schliessen lässt, bei der Vertragsauslegung nach dem Vertrauensprinzip hingegen ausser Betracht fällt. Mit seinen appellatorischen Vorbringen erhebt der Beschwerdeführer keine hinreichende Sachverhaltsrüge.</w:t>
      </w:r>
    </w:p>
    <w:p>
      <w:r>
        <w:t>Selbst wenn von einer normativen Vertragsauslegung auszugehen wäre, vermag der Beschwerdeführer keine Bundesrechtsverletzung aufzuzeigen. Die Parteien (der Beschwerdeführer als Vertreter der C.________ AG) vereinbarten im Nachgang des Individual Shareholder Agreement trotz des darin erwähnten Betrags von EUR 1 Mio. eine Darlehensgewährung in Landeswährung über Fr. 1.5 Mio. Hinweise darauf, dass statt eines Vertrags verschiedene Darlehensverträge abgeschlossen werden sollten, bis der genaue Gegenwert von EUR 1 Mio. erreicht worden wäre, sind aus objektiver Betrachtung nicht erkennbar. Nach Treu und Glauben wäre vielmehr anzunehmen, dass mit dem Abschluss des Darlehensvertrags vom 31. Dezember 2008, der keinerlei Vorbehalte hinsichtlich offener Beträge oder weiterer Darlehen enthält, die Verpflichtung aus dem Individual Shareholder Agreement - im Ergebnis unter Anwendung eines Wechselkurses von Fr. 1.50 pro EUR - vollständig erfüllt werden sollte.</w:t>
      </w:r>
    </w:p>
    <w:p>
      <w:r>
        <w:t>Die Vorinstanz hat den vom Beschwerdeführer geltend gemachten Erfüllungsanspruch aus dem Individual Shareholder Agreement vom 25. Juni 2008 über Fr. 100'000.-- daher zu Recht verneint. Eine Verrechnung ( Art. 120 ff. OR ) fällt daher von vornherein ausser Betracht.</w:t>
      </w:r>
    </w:p>
    <w:p>
      <w:r>
        <w:rPr>
          <w:b/>
        </w:rPr>
        <w:t>E. 3</w:t>
      </w:r>
    </w:p>
    <w:p>
      <w:r>
        <w:t>Der Beschwerdeführer wirft der Vorinstanz eine Verletzung des rechtlichen Gehörs ( Art. 29 Abs. 2 BV ) und des Rechts auf Beweis ( Art. 152 ZPO ) vor.</w:t>
      </w:r>
    </w:p>
    <w:p>
      <w:r>
        <w:rPr>
          <w:b/>
        </w:rPr>
        <w:t>E. 3.1</w:t>
      </w:r>
    </w:p>
    <w:p>
      <w:r>
        <w:t>Er stützte sich im kantonalen Verfahren auf eine weitere angeblich verrechenbare Gegenforderung, die er in der Nichteinhaltung einer vertraglichen Finanzierungszusage des Beschwerdegegners begründet sah. Die Vorinstanz erachtete es in Würdigung verschiedener Unterlagen (E-Mails, Berichte des Verwaltungsrats, Budgetaufstellungen) als nicht erwiesen, dass der Beschwerdegegner mündlich eine solche Finanzierungszusage über Fr. 1'435'000.-- abgegeben haben soll. Entsprechend verneinte sie einen vertraglichen Schadenersatzanspruch, den der Beschwerdeführer den Rückzahlungsforderungen des Beschwerdegegners verrechnungsweise hätte entgegenhalten können.</w:t>
      </w:r>
    </w:p>
    <w:p>
      <w:r>
        <w:rPr>
          <w:b/>
        </w:rPr>
        <w:t>E. 3.2</w:t>
      </w:r>
    </w:p>
    <w:p>
      <w:r>
        <w:t>Der Beschwerdeführer bringt vor Bundesgericht vor, die mündliche Finanzierungszusage lasse sich nur aufgrund von Indizien und Zeugenaussagen belegen. Da es zu diesem Punkt nur wenige schriftliche Indizien gebe, komme der Aussage von unabhängigen Zeugen eine zentrale Bedeutung zu. Im Umstand, dass im gesamten bisherigen Verfahren auf die Einvernahme von Zeugen verzichtet worden sei, liege eine Verletzung des Gehörsanspruchs.</w:t>
      </w:r>
    </w:p>
    <w:p>
      <w:r>
        <w:t>Er führt zunächst lediglich unter Hinweis auf seine Klageschrift sowie seine Replik im erstinstanzlichen Verfahren aus, er habe dem Bezirksgericht verschiedene Zeugen angeboten, welche die Finanzierungszusage hätten bestätigen können. Dass er im Berufungsverfahren die Einvernahme bestimmter Zeugen beantragt hätte, zeigt er hingegen nicht mit Aktenhinweisen auf. Damit legt der Beschwerdeführer nicht dar, inwiefern die Vorinstanz mit ihrem Entscheid das Recht auf Beweis ( Art. 152 ZPO ) oder das rechtliche Gehör ( Art. 29 Abs. 2 BV ) verletzt hätte.</w:t>
      </w:r>
    </w:p>
    <w:p>
      <w:r>
        <w:t>Insbesondere lässt er die vorinstanzliche Erwägung unerwähnt, wonach er nicht geltend mache, die Erstinstanz habe zu Unrecht auf die Befragung der angebotenen Zeugen verzichtet; aufgrund der fehlenden konkreten Rüge erübrigten sich weitere Ausführungen. Inwiefern die Vorinstanz mit dieser entscheidtragenden Begründung Bundesrecht verletzt hätte, zeigt der Beschwerdeführer nicht auf. Es braucht daher auf die in der Beschwerdeschrift erhobenen Rügen gegen die Eventualbegründung der Vorinstanz nicht eingegangen zu werden, wonach eine Zeugenbefragung in diesem Zusammenhang angesichts der Aktenlage mit überwiegender Wahrscheinlichkeit ohnehin nicht zu neuen Erkenntnissen geführt hätte und die Erstinstanz insofern zu Recht eine antizipierte Beweiswürdigung getroffen habe (vgl. BGE 133 IV 119 E. 6.3).</w:t>
      </w:r>
    </w:p>
    <w:p>
      <w:r>
        <w:rPr>
          <w:b/>
        </w:rPr>
        <w:t>E. 3.3</w:t>
      </w:r>
    </w:p>
    <w:p>
      <w:r>
        <w:t>Damit bleibt es bei der vorinstanzlichen Feststellung, dass eine (mündliche) Finanzierungszusage des Beschwerdegegners über Fr. 1'435'000.-- nicht erwiesen ist. Ein vertraglicher Schadenersatzanspruch des Beschwerdeführers gestützt auf eine angebliche Verletzung einer solchen Zusage fällt daher ausser Betracht. Entgegen der in der Beschwerde vertretenen Ansicht hat die Vorinstanz in der Folge zu Recht auf eine Prüfung der weiteren Voraussetzungen eines solchen Anspruchs verzichtet; eine Gehörsverletzung liegt auch in dieser Hinsicht nicht vor.</w:t>
      </w:r>
    </w:p>
    <w:p>
      <w:r>
        <w:rPr>
          <w:b/>
        </w:rPr>
        <w:t>E. 4</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