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4A_317/2022 vom 22. November 2022</w:t>
      </w:r>
    </w:p>
    <w:p>
      <w:r>
        <w:t>Bundesgericht, 2022-11-22, FR</w:t>
      </w:r>
    </w:p>
    <w:p>
      <w:r>
        <w:rPr>
          <w:b/>
        </w:rPr>
        <w:t xml:space="preserve">Quelle: </w:t>
      </w:r>
      <w:r>
        <w:t>https://mcp.opencaselaw.ch/entscheid/bger_4A_317_2022</w:t>
      </w:r>
    </w:p>
    <w:p>
      <w:r>
        <w:t>FR: TF 4A_317/2022 du 22 novembre 2022</w:t>
      </w:r>
    </w:p>
    <w:p>
      <w:r>
        <w:t>IT: TF 4A_317/2022 del 22 novembre 2022</w:t>
      </w:r>
    </w:p>
    <w:p>
      <w:pPr>
        <w:pStyle w:val="Heading2"/>
      </w:pPr>
      <w:r>
        <w:t>Erwägungen</w:t>
      </w:r>
    </w:p>
    <w:p>
      <w:r>
        <w:rPr>
          <w:b/>
        </w:rPr>
        <w:t>E. 1.1</w:t>
      </w:r>
    </w:p>
    <w:p>
      <w:r>
        <w:t>Lorsque le droit fédéral prévoit une instance cantonale unique, le recours en matière civile est recevable indépendamment de la valeur litigieuse ( art. 74 al. 2 let. b LTF ) et, contrairement à la règle générale (cf. art. 75 al. 2 LTF ), le tribunal supérieur n'a pas à statuer sur recours ( art. 75 al. 2 let. a LTF ). En l'occurrence, l'autorité précédente, qui a statué en instance cantonale unique, a fondé sa compétence</w:t>
      </w:r>
    </w:p>
    <w:p>
      <w:r>
        <w:t>ratione materiae sur l' art. 5 al. 1 let. a CPC , de sorte que la décision entreprise est sujette au recours en matière civile indépendamment de la valeur litigieuse.</w:t>
      </w:r>
    </w:p>
    <w:p>
      <w:r>
        <w:rPr>
          <w:b/>
        </w:rPr>
        <w:t>E. 1.2</w:t>
      </w:r>
    </w:p>
    <w:p>
      <w:r>
        <w:t>Bien que l'intimée prétende le contraire, il y a lieu d'admettre que la recourante dispose effectivement d'un intérêt digne de protection à l'admission de son recours.</w:t>
      </w:r>
    </w:p>
    <w:p>
      <w:r>
        <w:t>Pour le reste, qu'il s'agisse du délai de recours et des conclusions prises par la recourante, aucune de ces conditions de recevabilité ne fait problème en l'espèce. Demeure réservé l'examen, sous l'angle de leur motivation, des critiques formulées par l'intéressée.</w:t>
      </w:r>
    </w:p>
    <w:p>
      <w:r>
        <w:rPr>
          <w:b/>
        </w:rPr>
        <w:t>E. 2.1</w:t>
      </w:r>
    </w:p>
    <w:p>
      <w:r>
        <w:t>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citées). En revanche, la partie recourante ne saurait introduire des faits ou moyens de preuve qu'elle a négligé de soumettre aux autorités cantonales ( ATF 136 III 123 consid. 4.4.3).</w:t>
      </w:r>
    </w:p>
    <w:p>
      <w:r>
        <w:rPr>
          <w:b/>
        </w:rPr>
        <w:t>E. 2.4</w:t>
      </w:r>
    </w:p>
    <w:p>
      <w:r>
        <w:t>En l'occurrence, l'intéressée a produit, en annexe à son mémoire de recours, une pièce nouvelle, intitulée " Rapport d'analyse de codes sources ", datée du 8 juillet 2022. A son avis, la production du document en question serait justifiée par la " confusion " créée par la cour cantonale dans la décision attaquée quant à la définition des logiciels visés par la présente procédure. Force est toutefois de constater que l'intéressée, sous le couvert d'une prétendue confusion imputée à l'autorité précédente, ne fait, en réalité, rien d'autre que s'en prendre à la motivation figurant dans la décision attaquée. La recourante n'établit dès lors nullement que la pièce nouvellement produite relèverait de l'une des exceptions visée par l' art. 99 al. 1 LTF . Il n'en sera dès lors pas tenu compte au moment d'apprécier les mérites des critiques émises par la recourante à l'encontre de la décision entreprise.</w:t>
      </w:r>
    </w:p>
    <w:p>
      <w:r>
        <w:t>L'intéressée consacre, par ailleurs, sous la rubrique intitulée " Introduction " de son mémoire de recours, plus de trois pages à sa propre narration des faits de la cause. La Cour de céans ne prendra pas en considération cet exposé dans la mesure où il s'écarte des faits constatés dans la décision attaquée.</w:t>
      </w:r>
    </w:p>
    <w:p>
      <w:r>
        <w:rPr>
          <w:b/>
        </w:rPr>
        <w:t>E. 3.1</w:t>
      </w:r>
    </w:p>
    <w:p>
      <w:r>
        <w:t>Aux termes de l'art. 62 al. 1 de la loi fédérale du 9 octobre 1992 sur le droit d'auteur et les droits voisins (LDA; RS 231.1), celui qui subit ou risque de subir une violation de son droit d'auteur peut notamment demander au tribunal de l'interdire si elle est imminente ou de la faire cesser si elle dure encore.</w:t>
      </w:r>
    </w:p>
    <w:p>
      <w:r>
        <w:t>Par oeuvre, on entend toute création de l'esprit, littéraire ou artistique, qui a un caractère individuel, indépendamment de sa valeur ou de sa destination ( art. 2 al. 1 LDA ). L' art. 2 al. 3 LDA assimile les programmes d'ordinateur (logiciels) à des oeuvres.</w:t>
      </w:r>
    </w:p>
    <w:p>
      <w:r>
        <w:rPr>
          <w:b/>
        </w:rPr>
        <w:t>E. 3.1.1</w:t>
      </w:r>
    </w:p>
    <w:p>
      <w:r>
        <w:t>Selon le principe du créateur (</w:t>
      </w:r>
    </w:p>
    <w:p>
      <w:r>
        <w:t>Schöpferprinzip ), l'auteur est la personne physique qui a créé l'oeuvre ( art. 6 LDA ; ATF 136 III 225 consid. 4.3; 116 II 351 consid. 2b; arrêt 4A_527/2021 du 17 février 2022 consid. 4.1). L'auteur dispose sur son oeuvre notamment de prérogatives morales (droit moral), dont le droit de paternité incluant le droit de faire reconnaître sa qualité d'auteur ( art. 9 al. 1 LDA ). L'intérêt d'une personne physique à faire constater qu'elle est l'auteur d'une oeuvre déterminée existe toujours et ne saurait disparaître par l'écoulement du temps ( ATF 136 III 225 consid. 4.3).</w:t>
      </w:r>
    </w:p>
    <w:p>
      <w:r>
        <w:t>Une personne morale ne peut pas revêtir la qualité d'auteur au sens de l' art. 6 LDA (arrêt 4A_527/2021, précité, consid. 4.1). Cela ne signifie toutefois pas qu'une personne morale ne peut pas être titulaire de droits d'auteur sur l'oeuvre (arrêt 4A_527/2021, précité, consid. 4.1). Selon l' art. 16 al. 1 LDA , les droits d'auteur sont en effet cessibles et transmissibles par succession. La qualité d'auteur d'une oeuvre n'exclut ainsi pas que des droits d'auteur patrimoniaux puissent être cédés par l'auteur à une personne morale (arrêt 4A_527/2021, précité, consid. 4.1). En principe, tous les droits patrimoniaux qui découlent du droit d'auteur peuvent être transférés ( ATF 117 II 463 consid. 3; arrêt 4A_643/2012 du 23 avril 2013 consid. 3.1). Un tel transfert ne nécessite le respect d'aucune exigence de forme; il peut parfaitement être conclu tacitement, voire par actes concluants (arrêt 4A_643/2012, précité, consid. 3.1 et la référence citée). Le transfert des droits d'auteur sur une oeuvre confère à l'acquéreur la maîtrise juridique exclusive sur celle-ci ( ATF 117 II 463 consid. 3).</w:t>
      </w:r>
    </w:p>
    <w:p>
      <w:r>
        <w:rPr>
          <w:b/>
        </w:rPr>
        <w:t>E. 3.2</w:t>
      </w:r>
    </w:p>
    <w:p>
      <w:r>
        <w:t>La création d'une oeuvre dans le cadre d'un contrat de travail n'empêche en principe pas l'employé d'acquérir le statut d'auteur ( ATF 136 III 225 consid. 4.3; arrêt 4A_527/2021, précité, consid. 4.2). L'employeur peut toutefois prévoir contractuellement, préalablement et de manière globale, un transfert en sa faveur des droits d'auteur sur une oeuvre créée par le travailleur dans le cadre des rapports de travail (arrêt 4A_527/2021, précité, consid. 4.2).</w:t>
      </w:r>
    </w:p>
    <w:p>
      <w:r>
        <w:rPr>
          <w:b/>
        </w:rPr>
        <w:t>E. 3.3</w:t>
      </w:r>
    </w:p>
    <w:p>
      <w:r>
        <w:t>La LDA prévoit toutefois un régime particulier concernant les logiciels créés par un travailleur dans le cadre de son activité professionnelle.</w:t>
      </w:r>
    </w:p>
    <w:p>
      <w:r>
        <w:t>Aux termes de l' art. 17 LDA , l'employeur est ainsi seul autorisé à exercer les droits exclusifs d'utilisation sur le logiciel créé par le travailleur dans l'exercice de son activité au service de l'employeur et conformément à ses obligations contractuelles. Historiquement, le projet de loi sur le droit d'auteur soumis par le Conseil fédéral aux Chambres fédérales prévoyait, sur ce point, une réglementation calquée sur l' art. 332 al. 1 CO , raison pour laquelle la formulation de l' art. 17 LDA correspond dans une très large mesure à celle de l' art. 332 al. 1 CO (Message du Conseil fédéral du 19 juin 1989 concernant une loi fédérale sur le droit d'auteur et les droits voisins [loi sur le droit d'auteur, LDA], une loi fédérale sur la protection des topographies de circuits intégrés [loi sur les topographies, LTo] ainsi qu'un arrêté fédéral concernant diverses conventions internationales dans le domaine du droit d'auteur et des droits voisins, FF 1989 III 520; WILLI EGLOFF, in Barrelet/Egloff [édit.], Le nouveau droit d'auteur, 4e éd. 2021, no 1 ad art. 17 LDA ; WYLER/HEINZER, Droit du travail, 4e éd. 2019, p. 545).</w:t>
      </w:r>
    </w:p>
    <w:p>
      <w:r>
        <w:t>L'application de l' art. 17 LDA suppose ainsi la réalisation de deux conditions cumulatives, dont la formulation est analogue à celle de l' art. 332 CO , à savoir que le logiciel en question ait été créé par un travailleur " dans l'exercice de son activité au service de l'employeur " et " conformément à ses obligations professionnelles " (WYLER/HEINZER, op. cit., p. 545; JACQUES DE WERRA, in de Werra/Gilliéron [édit.], Commentaire romand, Propriété intellectuelle, 2013, no 9 ad art. 17 LDA ; IVAN CHERPILLOD, La nouvelle loi sur le droit d'auteur et les droits voisins: titularité et transfert des droits, in PJA 1993 p. 562). Il doit dès lors exister un lien étroit entre la création du programme informatique et l'activité de l'employé au sein de l'entreprise concernée (EGLOFF, op. cit., no 6 ad art. 17 LDA ; DE WERRA, op. cit., no 10 ad art. 17 LDA ; WYLER/HEINZER, op. cit., p. 537; MARTIN J. LUTZ, Les programmes d'ordinateur, in Fabio Marchetto [édit.], La nouvelle loi fédérale sur le droit d'auteur, 1994, p. 184; GIANNI FRÖHLICH-BLEULER, Zum Übergang der Urheberrechte an Computerprogrammen nach dem neuen Art. 17 URG, in RSJ 1994 p. 283 et les références citées; cf. aussi la jurisprudence relative à l' art. 332 CO : arrêt 4A_691/2011 du 6 novembre 2012 consid. 3.1; ATF 72 II 270 consid. 4). Il ressort de la jurisprudence relative à l' art. 332 CO que les deux critères précités sont interdépendants, en ce sens que si l'employé accomplit une obligation contractuelle, il agit forcément dans l'exercice de son activité (arrêt 4A_691/2011, précité, consid. 3.1 et les références citées). Il n'est en revanche pas décisif que le travailleur ait conçu le logiciel pendant ses heures de travail ou durant son temps libre respectivement sur son lieu de travail ou ailleurs (EGLOFF, op. cit., no 6 ad 17 LDA; DE WERRA, op. cit., no 10 ad art. 17 LDA ; WYLER/HEINZER, op. cit., p. 537; FRÖHLICH-BLEULER, op. cit., p. 283; WOLFGANG STRAUB, Softwareschutz, 2011, n. 94; arrêt 4A_691/2011, précité, consid. 3.1; ATF 72 II 270 consid. 4).</w:t>
      </w:r>
    </w:p>
    <w:p>
      <w:r>
        <w:t>La nature juridique du régime prévu par l' art. 17 LDA est controversée. Plusieurs auteurs y voient une cession légale des droits du travailleur sur le logiciel en faveur de l'employeur (WYLER/HEINZER, op. cit., p. 546 s.; DE WERRA, op. cit., no 14 ad art. 17 LDA ; IVAN CHERPILLOD, Propriété intellectuelle, Précis de droit suisse, 2021, n. 1262; URSULA WIDMER, Der urheberrechtliche Schutz von Computerprogrammen, in RDS 1993 I p. 255; REHBINDER/VIGANÒ, Urheberrecht, Kommentar, 3e éd. 2008, no 1 ad art. 17 LDA ; PORTMANN/WILDHABER, Schweizerisches Arbeitsrecht, 4e éd. 2020, n. 609; NEFF/ARN, Urheberrechtlicher Schutz der Software, in SIWR II/2, 1998, p. 279 et les références citées; MATTHIAS SEEMANN, Übertragbarkeit von Urheberpersönlichkeitsrechten, 2008, p. 329 ss). D'autres évoquent plutôt l'existence d'une licence légale (RETO M. HILTY, Urheberrecht, 2e éd. 2020, n. 682 s.; KAMEN TROLLER, Précis du droit suisse des biens immatériels, 2e éd. 2006, p. 254; VON BÜREN/MEER, Rechtsübergang und Zwangsvollstreckung, in SIWR II/1, 3e éd. 2014 p. 252), certains auteurs estimant que l' art. 17 LDA instaure une présomption légale en faveur de l'employeur lui conférant le droit d'utiliser le logiciel en question (EGLOFF, op. cit., no 6 ad art. 17 LDA ; DANIEL ALDER, Urhebervertragsrecht, 2006, p. 498; CHRISTIAN LAUX, Vertragsauslegung im Urheberrecht, 2003, p. 144; GEORG RAUBER, Computersoftware, in Magda Streuli-Youssef [édit.], Urhebervertragsrecht, 2006, p. 205). Quoi qu'il en soit, le régime prévu par l' art. 17 LDA ne remet nullement en cause le principe du créateur selon lequel la personne physique qui a conçu le logiciel revêt le statut d'auteur au sens de l' art. 6 al. 1 LDA (ADRIAN ANDERMATT, Die arbeitsrechtliche Zuordnung von immaterialgüterrechtlich geschützten Arbeitsergebnissen, in RSJ 2008 p. 292; DE WERRA, op. cit., no 14 ad art. 17 LDA ; EGLOFF, op. cit., no 4 ad art. 17 LDA ). Celui qui a créé un logiciel dans le cadre de ses obligations professionnelles conserve en principe le droit à la reconnaissance de sa qualité d'auteur (EGLOFF, op. cit, no 9 ad art. 17 LDA ; URS EGLI, Softwareentwicklung im Arbeitsverhältnis, in ArbR 2007 p. 25 s.; STUTZ/HOTTINGER, Wem gehören die Arbeitnehmer-Designs?, in Sic! 2019 p. 476; FRANÇOIS DESSEMONTET, La propriété intellectuelle et les contrats de licence, 2e éd. 2011, n. 21). En vertu de l' art. 17 LDA , l'employeur se voit toutefois habilité, de par la loi, à exercer les droits patrimoniaux d'utilisation du logiciel concerné (TISSOT/KRAUS/SALVADÉ, Propriété intellectuelle, 2019, n. 111), lesquels englobent notamment le droit de modifier et d'adapter celui-ci (DE WERRA, op. cit., no 20 ad art. 17 LDA ; WYLER/HEINZER, op. cit., p. 547; EGLOFF, op. cit, no 9 ad art. 17 LDA ; CARLO GOVONI, Der urheberrechtliche Schutz von Computerprogamme, in PJA 1993 p. 573; ANDERMATT, op. cit., p. 292).</w:t>
      </w:r>
    </w:p>
    <w:p>
      <w:r>
        <w:rPr>
          <w:b/>
        </w:rPr>
        <w:t>E. 3.4</w:t>
      </w:r>
    </w:p>
    <w:p>
      <w:r>
        <w:t>Selon la doctrine majoritaire, l' art. 17 LDA ne s'applique toutefois pas aux logiciels créés par des collaborateurs dans le cadre de rapports relevant du droit public (NATHALIE TISSOT, Logiciels et brevets d'invention réalisés par les professeurs des Universités et des Ecoles polytechniques suisses, in Medialex 2014 p. 59; EGLOFF, op. cit., no 5 ad art. 17 LDA ; TISSOT/KRAUS/SALVADÉ, op. cit., p. 45 note infrapaginale 330; WIDMER, op. cit., p. 257; JULIUS EFFENBERGER, Urheberrechte von Angehörigen öffentlicher Hochschulen, in RDS, Beiheft 18, 1995, p. 64 s.; NEFF/ARN, op. cit., p. 286; DE WERRA, op. cit., no 8 ad art. 17 LDA ; LE MÊME, in Müller/Oertli [édit.], Urheberrechtsgesetz, 2e éd. 2012, no 8 ad art. 17 LDA ; d'un avis contraire: WYLER/HEINZER, op. cit., p. 546 s.; STUTZ/AMBÜHL, Rechte an Computerprogrammen, geschaffen im öffentlich-rechtlichen Arbeitsverhältnis - eine Schweizer Sonderlösung, in GRUR Int. 2010 p. 670). La Confédération et les cantons concernés ont dès lors décidé, dès le début des années 2000, d'adopter des mesures sur le plan législatif aux fins de remédier à cette situation jugée insatisfaisante du point de vue de la diffusion la plus large possible des savoirs et de la promotion de la recherche (TISSOT, op. cit., p. 60 s.). Cela s'est notamment traduit, au niveau fédéral, par une modification de la loi du 4 octobre 1991 sur les écoles polytechniques fédérales (LEPF; RS 414.110), entrée en vigueur le 1er janvier 2014, dont l'art. 36 al. 2 prévoit désormais que les droits d'utilisation exclusifs des logiciels que des personnes ayant des rapports de travail au sens de l'art. 17 LEPF créent dans l'exercice de leur activité au service de leur employeur reviennent aux EPF et aux établissements de recherche (cf. aussi le Message du Conseil fédéral du 27 février 2002 concernant la révision partielle de la loi fédérale sur les écoles polytechniques fédérales, FF 2002 3281). Les cantons ont également créé des bases légales prévoyant que les universités peuvent exploiter les logiciels créés par leurs chercheurs dans le cadre de leur activité pour le compte de l'établissement universitaire (TISSOT, op. cit., p. 60 ss).</w:t>
      </w:r>
    </w:p>
    <w:p>
      <w:r>
        <w:rPr>
          <w:b/>
        </w:rPr>
        <w:t>E. 3.5</w:t>
      </w:r>
    </w:p>
    <w:p>
      <w:r>
        <w:t>S'agissant des droits de propriété intellectuelle, les deux premiers alinéas de l'art. 70 de la loi du 6 juillet 2004 sur l'Université de Lausanne (LUL; RSV 414.11) énoncent ce qui suit:</w:t>
      </w:r>
    </w:p>
    <w:p>
      <w:r>
        <w:t>" Art. 70 Propriété intellectuelle</w:t>
      </w:r>
    </w:p>
    <w:p>
      <w:r>
        <w:t>1. A l'exception des droits d'auteur, l'Université est titulaire des droits de propriété intellectuelle portant sur toute création intellectuelle technique ainsi que sur des résultats de recherche obtenus par les membres du corps enseignant dans l'exercice de leurs activités au service de l'Université. Sont réservés les accords comportant des clauses de cession ou de licence en faveur de tiers ayant financé partiellement ou totalement les recherches.</w:t>
      </w:r>
    </w:p>
    <w:p>
      <w:r>
        <w:t>2. Les droits exclusifs d'utilisation des programmes informatiques créés par les membres du corps enseignant dans l'exercice de leurs activités au sein de l'Université reviennent à cette dernière. "</w:t>
      </w:r>
    </w:p>
    <w:p>
      <w:r>
        <w:t>Selon l'art. 52 al. 1 LUL, le corps enseignant de l'Université se compose du corps professoral et du corps intermédiaire, soit des maîtres d'enseignement et de recherche, des maîtres assistants ainsi que des assistants.</w:t>
      </w:r>
    </w:p>
    <w:p>
      <w:r>
        <w:rPr>
          <w:b/>
        </w:rPr>
        <w:t>E. 4</w:t>
      </w:r>
    </w:p>
    <w:p>
      <w:r>
        <w:t>Dans la décision attaquée, la cour cantonale constate que les parties au litige étaient liées par un contrat de droit public, soumis à la LUL, et que la recourante, vu sa qualité d'assistante diplômée, faisait partie du corps enseignant. Elle observe que l'intéressée devait assumer des tâches administratives liées à l'enseignement ainsi qu'à la recherche et consacrait le reste de son temps à l'élaboration de sa thèse. La juridiction cantonale estime qu'il est vain de soutenir que l' art. 17 LDA ne trouverait pas application en l'espèce en raison de l'existence d'un contrat soumis au droit public, dès lors que les rapports de travail étaient de toute manière régis par la LUL, laquelle prévoit un régime identique à celui de l' art. 17 LDA en ce qui concerne les droits d'utilisation des programmes informatiques créés par des collaborateurs dans le cadre de leur activité professionnelle.</w:t>
      </w:r>
    </w:p>
    <w:p>
      <w:r>
        <w:t>En l'occurrence, l'autorité précédente constate que la recourante a travaillé pour l'intimée en qualité d'assistante diplômée du 1er juillet 2006 au 30 juin 2011. La recourante, qui ne possédait pas de compétences en matière de programmation informatique lors de son engagement, a toutefois pu élaborer, au cours de son activité pour l'intimée et durant l'élaboration de sa thèse, des programmes permettant d'analyser le mouvement et le comportement des fourmis, grâce au travail préalable de son compagnon D.________, lequel avait développé des programmes pour déterminer la position des fourmis. La cour cantonale retient que le développement de logiciels ne figurait pas dans les différents cahiers des charges signés par la recourante. Cela étant, elle constate qu'il est notoire, dans le milieu académique, que la mention " travail de thèse " figurant dans un cahier des charges comprend toute démarche relative à la réalisation de la thèse en question. L'autorité précédente considère que les logiciels développés par l'intéressée étaient non seulement en lien étroit avec son activité mais qu'ils représentaient en outre un outil indispensable à la rédaction de celle-ci, puisque son travail n'aurait pas pu aboutir sans leur utilisation. Partant, si la recourante revêt certes la qualité d'auteur des programmes informatiques en question, les droits patrimoniaux sur les logiciels créés par elle reviennent à l'intimée.</w:t>
      </w:r>
    </w:p>
    <w:p>
      <w:r>
        <w:rPr>
          <w:b/>
        </w:rPr>
        <w:t>E. 5.1</w:t>
      </w:r>
    </w:p>
    <w:p>
      <w:r>
        <w:t>Dans son mémoire de recours, l'intéressée indique qu'elle n'entend pas " s'engager dans une critique libre de l'appréciation des magistrats [cantonaux] quant à leur propre compétence " tout en maintenant que la cause relève, à son avis, du droit cantonal de la fonction publique et non du domaine de la propriété intellectuelle. Pareille affirmation ne répond toutefois pas à l'exigence de motivation déduite de l' art. 42 al. 2 LTF . Pour satisfaire à cette exigence, il appartient en effet à la partie recourante de discuter au moins brièvement les considérants de la décision entreprise et d'expliquer en quoi ceux-ci seraient contraires au droit ( ATF 142 I 99 consid. 1.7.1). Or, en l'occurrence, la recourante n'indique pas en quoi l'autorité précédente aurait méconnu le droit en se déclarant compétente pour connaître du présent litige. Insuffisamment motivée, la critique de l'intéressée est, partant, irrecevable.</w:t>
      </w:r>
    </w:p>
    <w:p>
      <w:r>
        <w:rPr>
          <w:b/>
        </w:rPr>
        <w:t>E. 5.2</w:t>
      </w:r>
    </w:p>
    <w:p>
      <w:r>
        <w:t>Invoquant l' art. 97 al. 1 LTF , la recourante soutient que la cour cantonale aurait, à plusieurs égards, établi les faits et apprécié les preuves administrées de façon arbitraire.</w:t>
      </w:r>
    </w:p>
    <w:p>
      <w:r>
        <w:rPr>
          <w:b/>
        </w:rPr>
        <w:t>E. 5.2.1</w:t>
      </w:r>
    </w:p>
    <w:p>
      <w:r>
        <w:t>Pour la recourante, la cour cantonale serait tombée dans l'arbitraire en " éliminant purement et simplement " le témoignage de son compagnon D.________. En l'occurrence, l'autorité précédente n'a toutefois pas écarté ledit témoignage, mais a seulement estimé qu'il devait être apprécié avec retenue et pris en compte uniquement dans la mesure où il était corroboré par d'autres éléments du dossier. On cherche vainement en quoi il serait arbitraire de n'accueillir qu'avec réserve les déclarations de ce témoin, vu les liens étroits existant entre la recourante et lui. Quoi qu'il en soit, l'intéressée se contente de présenter sa propre appréciation du caractère probant du témoignage en question. En outre, elle ne démontre pas, à satisfaction de droit, en quoi le témoignage de l'intéressé aurait apporté des éléments décisifs pour l'issue du litige. Sa critique est dès lors irrecevable.</w:t>
      </w:r>
    </w:p>
    <w:p>
      <w:r>
        <w:rPr>
          <w:b/>
        </w:rPr>
        <w:t>E. 5.2.2</w:t>
      </w:r>
    </w:p>
    <w:p>
      <w:r>
        <w:t>A en croire la recourante, la juridiction cantonale aurait sombré dans l'arbitraire en accordant un poids considérable au témoignage du Prof. B.________, nonobstant le conflit qui l'opposait à son ancienne assistante diplômée. L'intéressée relève aussi que le prénommé est toujours employé par l'intimée.</w:t>
      </w:r>
    </w:p>
    <w:p>
      <w:r>
        <w:t>Par sa critique au ton appellatoire marqué, la recourante ne fait qu'opposer sa propre appréciation du caractère probant du témoignage de l'intéressé à celui de la cour cantonale. Cela ne suffit toutefois pas à démontrer en quoi la cour cantonale aurait fait preuve d'arbitraire en accordant de l'importance aux déclarations faites par le Prof. B.________, étant précisé que celui-ci était au coeur de cette affaire, dans la mesure où il supervisait la thèse de la recourante. C'est le lieu du reste de souligner que la juridiction cantonale n'a négligé aucune circonstance pertinente puisqu'elle a fait état de la dégradation progressive des relations entre ledit témoin et la recourante. En tout état de cause, c'est à tort que l'intéressée soutient que c'est le Prof. B.________ qui bénéficierait des droits d'utilisation des logiciels litigieux si les siens n'étaient pas reconnus, puisque ceux-ci reviendraient, en réalité, à l'intimée. C'est également de manière erronée qu'elle affirme que les déclarations faites par le Prof. B.________ auraient dû être considérées comme des allégations de partie, puisque ce dernier n'était qu'un employé de l'intimée. L'argumentation développée par l'intéressée tombe ainsi à faux.</w:t>
      </w:r>
    </w:p>
    <w:p>
      <w:r>
        <w:rPr>
          <w:b/>
        </w:rPr>
        <w:t>E. 5.2.3</w:t>
      </w:r>
    </w:p>
    <w:p>
      <w:r>
        <w:t>La recourante reproche en outre à la cour cantonale d'avoir pris en considération, au moment d'examiner laquelle des deux parties avait suggéré que l'intéressée suive des cours de programmation informatique, le contenu d'un courrier électronique daté du 21 septembre 2006, non produit, dont le contenu avait été repris dans un courrier de l'intimée du 3 février 2020. Il ne s'agit toutefois pas là d'un élément décisif pour l'issue du litige comme on va le voir ci-après.</w:t>
      </w:r>
    </w:p>
    <w:p>
      <w:r>
        <w:rPr>
          <w:b/>
        </w:rPr>
        <w:t>E. 5.2.4</w:t>
      </w:r>
    </w:p>
    <w:p>
      <w:r>
        <w:t>L'intéressée fait également grief à l'autorité précédente d'avoir entretenu une " confusion évidente " s'agissant des logiciels visés par la présente procédure. La cour cantonale aurait ainsi erré en considérant que ceux-ci étaient des logiciels de traçage et qu'ils avaient été développés par l'intéressée. Celle-ci souligne que les logiciels de traçage ont été conçus par son compagnon D.________. Elle indique ainsi que les logiciels qui font l'objet du présent litige portent uniquement sur le traitement de données récoltées pendant l'expérience. Elle relève, toutefois, que ce procédé de traitement des données peut être utilisé dans d'autres contextes, sans qu'ils n'aient de rapport avec sa thèse. L'intéressée conteste en outre s'être basée sur un logiciel de traçage développé par D.________ pour créer ses propres logiciels. Elle réfute également l'appréciation de la cour cantonale selon laquelle le développement des logiciels litigieux était indispensable à la rédaction de sa thèse et soutient que ceux-ci ont été conçus en parallèle de son activité professionnelle dans le but de faciliter la réalisation de sa thèse.</w:t>
      </w:r>
    </w:p>
    <w:p>
      <w:r>
        <w:t>Il appert de l'argumentation ainsi résumée, qui présente du reste un caractère appellatoire marqué, que l'intéressée se borne à vouloir substituer sa propre appréciation des preuves à celle de l'autorité précédente, notamment lorsqu'elle affirme, comme s'il fallait la croire sur parole, que " les logiciels litigieux n'étaient absolument pas indispensables à la rédaction de sa thèse ". Semblable démarche ne suffit toutefois pas à faire apparaître la solution retenue par l'autorité précédente comme insoutenable ni, partant, à la taxer d'arbitraire.</w:t>
      </w:r>
    </w:p>
    <w:p>
      <w:r>
        <w:t>Il n'est pas nécessaire de trancher ici la question de savoir si c'est l' art. 17 LDA ou l'art. 70 al. 2 LUL qui trouve application en l'espèce et si le régime juridique prévu par ces deux dispositions est identique. L'autorité précédente a considéré que la LUL réglait les droits d'utilisation des programmes informatiques de la même manière que l' art. 17 LDA . Or, la recourante ne conteste nullement cette interprétation de l'art. 70 LUL, raison pour laquelle il n'y a pas lieu de s'attarder sur ce point.</w:t>
      </w:r>
    </w:p>
    <w:p>
      <w:r>
        <w:t>Fondant son raisonnement sur la prémisse, non contestée par la recourante, selon laquelle les conditions d'application des art. 17 LDA et 70 al. 2 LUL sont identiques, l'autorité précédente a considéré, à bon droit, qu'il doit exister un lien étroit entre la création du logiciel litigieux et l'activité professionnelle du travailleur concerné pour que l'employeur puisse se prévaloir des droits d'utilisation du programme informatique en question, sans qu'il importe de savoir si celui-ci a été conçu sur le lieu de travail ou durant le temps libre du collaborateur. Se référant à l'opinion professée par un auteur, la cour cantonale a estimé que l' art. 17 LDA ne s'applique pas lorsqu'un collaborateur conçoit un logiciel en dehors de ses obligations contractuelles dans le but de faciliter l'exécution de celles-ci. Au terme de son appréciation des preuves disponibles, elle a jugé que la recourante n'aurait toutefois pas pu terminer sa thèse sans utiliser les logiciels qu'elle avait développés durant son activité professionnelle.</w:t>
      </w:r>
    </w:p>
    <w:p>
      <w:r>
        <w:t>A l'encontre de cette appréciation, l'intéressée se borne à opposer sa propre vision des choses et à tenter de nier toute force probante au témoignage du Prof. B.________. Pareille démonstration ne suffit toutefois pas à démontrer que la cour cantonale aurait sombré dans l'arbitraire en retenant le résultat auquel elle a abouti. C'est également en vain que l'intéressée tente de faire accroire que l'autorité précédente aurait créé une confusion quant à l'objet du litige. A la lecture de la décision attaquée, on discerne en effet sans difficulté que les logiciels conçus par l'intéressée lui permettaient de traiter les données fournies par le logiciel de traçage et, partant, d'analyser celles-ci, aux fins d'élaborer sa thèse consacrée à l'étude des cycles circadiens des fourmis. Si la cour cantonale a certes fait allusion, de manière isolée, au fait que le développement de " logiciels de traçage " ne figurait pas dans le cahier des charges de la recourante, il n'en demeure pas moins qu'elle a visiblement identifié correctement les logiciels litigieux. C'est également, en pure perte, que l'intéressée soutient ne pas s'être basée sur les logiciels de traçage conçus par son compagnon pour élaborer ses propres programmes informatiques, ou que ceux-ci ont été conçus en parallèle de son activité professionnelle ou qu'elle prétend, en substance, avoir suivi de sa propre initiative des cours de programmation informatique dispensés par E.________. De tels éléments n'ont en effet aucune incidence sur l'issue du litige. En l'espèce, la cour cantonale a retenu que la mention " travail de thèse " figurant dans le cahier des charges de l'intéressée englobait toute démarche relative à la réalisation de la thèse en question. Elle a en outre constaté, de façon exempte d'arbitraire, que les logiciels litigieux étaient un outil indispensable à la rédaction de la thèse de l'intéressée et que son travail n'aurait pas pu aboutir sans leur utilisation, ce qui scelle le sort du litige. L'affirmation de la recourante selon laquelle les logiciels qu'elle a conçus peuvent être utilisés dans d'autres domaines que le champ d'étude de sa thèse n'y change rien.</w:t>
      </w:r>
    </w:p>
    <w:p>
      <w:r>
        <w:rPr>
          <w:b/>
        </w:rPr>
        <w:t>E. 5.2.5</w:t>
      </w:r>
    </w:p>
    <w:p>
      <w:r>
        <w:t>Pour le reste, l'intéressée ne soutient pas que la cour cantonale aurait méconnu le droit en aboutissant à la solution retenue par elle sur la base des faits constatés dans la décision attaquée.</w:t>
      </w:r>
    </w:p>
    <w:p>
      <w:r>
        <w:rPr>
          <w:b/>
        </w:rPr>
        <w:t>E. 6</w:t>
      </w:r>
    </w:p>
    <w:p>
      <w:r>
        <w:t>Au vu de ce qui précède, le recours doit être rejeté dans la mesure où il est recevable. 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