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317/2017 vom 27. Juni 2017</w:t>
      </w:r>
    </w:p>
    <w:p>
      <w:r>
        <w:t>Bundesgericht, 2017-06-27, IT</w:t>
      </w:r>
    </w:p>
    <w:p>
      <w:r>
        <w:rPr>
          <w:b/>
        </w:rPr>
        <w:t xml:space="preserve">Quelle: </w:t>
      </w:r>
      <w:r>
        <w:t>https://mcp.opencaselaw.ch/entscheid/bger_4A_317_2017</w:t>
      </w:r>
    </w:p>
    <w:p>
      <w:r>
        <w:t>FR: TF 4A 317/2017 du 27 juin 2017</w:t>
      </w:r>
    </w:p>
    <w:p>
      <w:r>
        <w:t>IT: TF 4A 317/2017 del 27 giugno 2017</w:t>
      </w:r>
    </w:p>
    <w:p>
      <w:pPr>
        <w:pStyle w:val="Heading2"/>
      </w:pPr>
      <w:r>
        <w:t>Regeste</w:t>
      </w:r>
    </w:p>
    <w:p>
      <w:r>
        <w:t>misure cautelari; deposito giudiziale | Diritto delle società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 Losanna, 27 giugno 2017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