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4A_317/2014 vom 17. Oktober 2014</w:t>
      </w:r>
    </w:p>
    <w:p>
      <w:r>
        <w:t>Bundesgericht, 2014-10-17, DE</w:t>
      </w:r>
    </w:p>
    <w:p>
      <w:r>
        <w:rPr>
          <w:b/>
        </w:rPr>
        <w:t xml:space="preserve">Quelle: </w:t>
      </w:r>
      <w:r>
        <w:t>https://mcp.opencaselaw.ch/entscheid/bger_4A_317_2014</w:t>
      </w:r>
    </w:p>
    <w:p>
      <w:r>
        <w:t>FR: TF 4A_317/2014 du 17 octobre 2014</w:t>
      </w:r>
    </w:p>
    <w:p>
      <w:r>
        <w:t>IT: TF 4A_317/2014 del 17 ottobre 2014</w:t>
      </w:r>
    </w:p>
    <w:p>
      <w:pPr>
        <w:pStyle w:val="Heading2"/>
      </w:pPr>
      <w:r>
        <w:t>Erwägungen</w:t>
      </w:r>
    </w:p>
    <w:p>
      <w:r>
        <w:rPr>
          <w:b/>
        </w:rPr>
        <w:t>E. 1</w:t>
      </w:r>
    </w:p>
    <w:p>
      <w:r>
        <w:t>Der angefochtene Entscheid betrifft ein Gesuch um vorsorgliche Beweisführung, auf das die Bestimmungen über die vorsorglichen Massnahmen Anwendung finden ( Art. 158 Abs. 2 ZPO ). Mit der Beschwerde gegen Entscheide über vorsorgliche Massnahmen kann nach Art. 98 BGG nur die Verletzung verfassungsmässiger Rechte gerügt werden. Eine solche Rüge prüft das Bundesgericht nur insofern, als sie in der Beschwerde vorgebracht und begründet worden ist ( Art. 106 Abs. 2 BGG ). Das bedeutet, dass klar und detailliert anhand der Erwägungen des angefochtenen Entscheids darzulegen ist, inwiefern verfassungsmässige Rechte verletzt worden sein sollen. Andernfalls ist auf die Beschwerde nicht einzutreten ( BGE 134 I 83 E. 3.2 S. 88; 134 II 244 E. 2.2 S. 246; 133 III 439 E. 3.2 S. 444 f.; je mit Hinweisen).</w:t>
      </w:r>
    </w:p>
    <w:p>
      <w:r>
        <w:rPr>
          <w:b/>
        </w:rPr>
        <w:t>E. 2.1</w:t>
      </w:r>
    </w:p>
    <w:p>
      <w:r>
        <w:t>Die Beschwerdeführerin rügt eine Verletzung des Willkürverbots ( Art. 9 BV ). Sie macht geltend, sie habe den Sachverhalt präzis umschrieben, nämlich: das Unfallereignis (abruptes Bremsmanöver mit Heckaufprall), die erlittenen Verletzungen (Wirbelsäulen-, Schädelhirn- und Zahntraumen) und die Dauerfolgen (Arbeitsunfähigkeit im angestammten Beruf und Einschränkung im Haushalt zu 38 %). Die Vorinstanz sei von mangelhafter Substanziierung ausgegangen, weil in den Rechtsschriften auf die UV- und IV-Akten verwiesen und nicht präzisiert worden sei, welche Akten der Gutachter zu beachten habe. Damit verwechsle sie Tatsachenbehauptungen und Beweismittel und verletze willkürlich Art. 221 ZPO .</w:t>
      </w:r>
    </w:p>
    <w:p>
      <w:r>
        <w:rPr>
          <w:b/>
        </w:rPr>
        <w:t>E. 2.2</w:t>
      </w:r>
    </w:p>
    <w:p>
      <w:r>
        <w:t>Tatsachenbehauptungen müssen substanziiert in der Rechtsschrift selber erfolgen; die blosse Verweisung auf Aktenstücke ist ungenügend (Laurent Killias, in: Berner Kommentar, Schweizerische Zivilprozessordnung, 2012, N. 23 zu Art. 221 ZPO ; Daniel Willisegger, in: Basler Kommentar, Schweizerische Zivilprozessordnung, 2. Aufl. 2013, N. 27 zu Art. 221 ZPO ). Wenn die Vorinstanz somit Hinweise auf die UVG- und IV-Akten nicht genügen liess, ist dies offensichtlich nicht willkürlich. Entscheidend ist vielmehr, ob die Vorinstanz an die Substanziierung des Tatsachenfundaments in den Rechtsschriften selber willkürlich zu hohe Anforderungen stellte. Die Vorinstanz hat die Sachverhaltsumschreibung im Gesuch - abgesehen vom erst in der Berufung angeführten Grad der Leistungsunfähigkeit im Haushalt von 38 % - gleich wiedergegeben, wie sie nun von der Beschwerdeführerin im Beschwerdeverfahren selber zitiert wird (vgl. E. 2.1). Sie hat ausgeführt, bei den Vorbringen der Beschwerdeführerin handle es sich bloss um eine stichwortartige Auswahl von Behauptungen. So würde die Beschwerdeführerin auch überhaupt keine Angaben zum Unfallhergang machen. Darauf geht die Beschwerdeführerin mit keinem Wort ein; sie wiederholt lediglich wie erwähnt diese stichwortartige Umschreibung des Sachverhalts und behauptet, damit habe sie diesen "präzis" umschrieben. Diese Begründung genügt den Rügeanforderungen offensichtlich nicht.</w:t>
      </w:r>
    </w:p>
    <w:p>
      <w:r>
        <w:rPr>
          <w:b/>
        </w:rPr>
        <w:t>E. 2.3</w:t>
      </w:r>
    </w:p>
    <w:p>
      <w:r>
        <w:t>Ebenso wenig erfüllt die Beschwerdeführerin die Begründungsanforderungen, in dem sie unter dem Titel "unnütze Rechtsausübung" weitere Willkürverletzungen geltend macht. Ihre Vorbringen erschöpfen sich weitgehend in unzulässiger appellatorischer Kritik und gehen an der Sache vorbei, womit auch darauf nicht eingetreten werden kann.</w:t>
      </w:r>
    </w:p>
    <w:p>
      <w:r>
        <w:rPr>
          <w:b/>
        </w:rPr>
        <w:t>E. 3</w:t>
      </w:r>
    </w:p>
    <w:p>
      <w:r>
        <w:t>Die Beschwerde ist somit abzuweisen, soweit überhaupt darauf einzutreten ist. Die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