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4A_316/2008 vom 3. Oktober 2008</w:t>
      </w:r>
    </w:p>
    <w:p>
      <w:r>
        <w:t>Bundesgericht, 2008-10-03, FR</w:t>
      </w:r>
    </w:p>
    <w:p>
      <w:r>
        <w:rPr>
          <w:b/>
        </w:rPr>
        <w:t xml:space="preserve">Quelle: </w:t>
      </w:r>
      <w:r>
        <w:t>https://mcp.opencaselaw.ch/entscheid/bger_4A_316_2008</w:t>
      </w:r>
    </w:p>
    <w:p>
      <w:r>
        <w:t>FR: TF 4A_316/2008 du 3 octobre 2008</w:t>
      </w:r>
    </w:p>
    <w:p>
      <w:r>
        <w:t>IT: TF 4A_316/2008 del 3 ottobre 2008</w:t>
      </w:r>
    </w:p>
    <w:p>
      <w:pPr>
        <w:pStyle w:val="Heading2"/>
      </w:pPr>
      <w:r>
        <w:t>Erwägungen</w:t>
      </w:r>
    </w:p>
    <w:p>
      <w:r>
        <w:rPr>
          <w:b/>
        </w:rPr>
        <w:t>E. 1.1</w:t>
      </w:r>
    </w:p>
    <w:p>
      <w:r>
        <w:t>Interjeté par les demandeurs qui ont succombé dans leurs conclusions en paiement prises devant l'autorité précédente et qui ont donc qualité pour recourir ( art. 76 al. 1 LTF ; ATF 133 III 421 consid. 1.1), le recours est dirigé contre une décision finale ( art. 90 LTF ) rendue en matière civile ( art. 72 al. 1 LTF ) par un tribunal supérieur statuant sur recours en dernière instance cantonale ( art. 75 al. 1 et 2 LTF . Portant sur une affaire pécuniaire dont la valeur litigieuse atteint le seuil de 30'000 fr. ( art. 74 al. 1 let. b LTF ), le recours est donc en principe recevable, puisqu'il a été déposé en temps utile ( art. 100 al. 1 LTF ) et dans les formes prévues par la loi ( art. 42 LTF ).</w:t>
      </w:r>
    </w:p>
    <w:p>
      <w:r>
        <w:rPr>
          <w:b/>
        </w:rPr>
        <w:t>E. 1.2</w:t>
      </w:r>
    </w:p>
    <w:p>
      <w:r>
        <w:t>Le recours en matière civile peut être interjeté pour violation du droit, tel qu'il est délimité par les art. 95 et 96 LTF . Sous réserve de l'exception prévue par l' art. 106 al. 2 LTF pour la violation de droits fondamentaux ou de dispositions de droit cantonal et intercantonal (cf. ATF 133 II 249 consid. 1.4.2), le Tribunal fédéral applique le droit d'office ( art. 106 al. 1 LTF ). Il n'est donc limité ni par les arguments soulevés dans le recours, ni par la motivation retenue par l'autorité précédente; il peut admettre un recours pour d'autres motifs que ceux qui ont été invoqués et il peut rejeter un recours en adoptant une argumentation différente de celle de l'autorité précédente ( ATF 134 III 102 consid. 1.1; 133 IV 150 consid. 1.2 et la jurisprudence citée).</w:t>
      </w:r>
    </w:p>
    <w:p>
      <w:r>
        <w:rPr>
          <w:b/>
        </w:rPr>
        <w:t>E. 1.3</w:t>
      </w:r>
    </w:p>
    <w:p>
      <w:r>
        <w:t>Le Tribunal fédéral statue sur la base des faits établis par l'autorité précédente ( art. 105 al. 1 LTF ). Il ne peut s'en écarter que si ceux-ci ont été établis de façon manifestement inexacte ou en violation du droit au sens de l' art. 95 LTF ( art. 105 al. 2 LTF ), ce qu'il incombe le cas échéant au recourant d'invoquer dans un grief dûment motivé ( ATF 133 II 249 consid. 1.4.3; 133 IV 150 consid. 1.3).</w:t>
      </w:r>
    </w:p>
    <w:p>
      <w:r>
        <w:rPr>
          <w:b/>
        </w:rPr>
        <w:t>E. 2</w:t>
      </w:r>
    </w:p>
    <w:p>
      <w:r>
        <w:t>Les recourants soutiennent qu'ils n'auraient pas conclu les contrats d'assurance litigieux s'ils avaient su que les frais d'acquisition des parts de fonds de placement étaient si élevés; en ne les informant pas de ce fait, l'intimée les aurait induits à contracter par dol ( art. 28 CO ).</w:t>
      </w:r>
    </w:p>
    <w:p>
      <w:r>
        <w:rPr>
          <w:b/>
        </w:rPr>
        <w:t>E. 2.1</w:t>
      </w:r>
    </w:p>
    <w:p>
      <w:r>
        <w:t>Selon l' art. 28 CO , la partie induite à contracter par le dol de l'autre n'est pas obligée, même si son erreur n'est pas essentielle. Le dol suppose que la partie qui s'en prévaut ait conclu le contrat sur la base d'une erreur provenant d'une tromperie intentionnelle et que, sans cette erreur, elle ne se serait pas engagée, ou alors à des conditions qui lui auraient été plus favorables ( ATF 129 III 320 consid. 6.3 et les références citées; arrêt non publié 4C.226/2002 du 27 septembre 2002, consid. 4.1).</w:t>
      </w:r>
    </w:p>
    <w:p>
      <w:r>
        <w:t>Le dol, tromperie intentionnelle que l'une des parties commet au préjudice de l'autre, peut résulter aussi bien d'une affirmation inexacte de la partie malhonnête que de la dissimulation d'éléments de fait; la dissimulation de faits ne constitue toutefois une tromperie que s'il existe un devoir de renseigner, qui peut découler de la loi, du contrat ou de la bonne foi ( ATF 117 II 218 consid. 6a p. 228; 116 II 431 consid. 3a; 133 III 421 , consid. 2.2 non publié). On admet que,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 ATF 106 II 346 consid. 4a p. 351; 105 II 75 consid. 2a p. 80 et les arrêts cités; arrêt non publié 4C.226/2002 du 27 septembre 2002, consid. 4.1).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 ATF 116 II 431 consid. 3a; 105 II 75 consid. 2a p. 80 et les arrêts cités; arrêt non publié 4C.226/2002 du 27 septembre 2002, consid. 4.1).</w:t>
      </w:r>
    </w:p>
    <w:p>
      <w:r>
        <w:rPr>
          <w:b/>
        </w:rPr>
        <w:t>E. 2.2</w:t>
      </w:r>
    </w:p>
    <w:p>
      <w:r>
        <w:t>Examinant le moyen tiré du dol, la cour cantonale a retenu en fait que les perspectives chiffrées de l'important rendement du capital investi sous forme de primes d'épargne - le capital estimé en cas de vie se montant respectivement, pour les trois assurances en question, à 908'828 fr. pour 175'500 fr. de primes (39 x 4'500 fr.), 459'071 fr. pour 240'000 fr. de primes (24 x 10'000 fr.) et 265'923 fr. pour 138'936 fr. de primes (24 x 5'789 fr.) - avaient été déterminantes pour amener les recourants à conclure les contrats litigieux. Cela étant, l'autorité cantonale a relevé que les recourants limitaient leurs reproches aux montants des frais prélevés sur leurs primes et que, ce faisant, ils n'expliquaient pas en quoi ces prélèvements concernaient directement la conclusion des contrats d'assurance; ils renonçaient en particulier à tenter de démontrer qu'avec de tels prélèvements, il devenait mathématiquement impossible de parvenir, à l'échéance des contrats, aux montants des capitaux en cas de vie estimés dans les propositions qu'ils avaient signées. Si ces montants étaient susceptibles d'affecter directement la conclusion du contrat, il n'en allait pas de même des frais d'acquisition, dont il apparaissait suffisant d'avoir, comme cela avait été le cas en l'espèce, mentionné l'existence.</w:t>
      </w:r>
    </w:p>
    <w:p>
      <w:r>
        <w:rPr>
          <w:b/>
        </w:rPr>
        <w:t>E. 2.3</w:t>
      </w:r>
    </w:p>
    <w:p>
      <w:r>
        <w:t>Les recourants se plaignent d'une mauvaise application, par la Cour de justice, de l' art. 28 CO . Se référant à l' art. 3 LCA entré en vigueur postérieurement à la conclusion des contrats litigieux, ils soutiennent que cette disposition cristallise les principes issus de la règle de la bonne foi, selon laquelle des informations aussi importantes que celles portant sur les méthodes, les principes et les bases de calcul régissant la distribution des excédents et la participation aux excédents (cf. art. 3 al. 1 let . e LCA) doivent être communiquées aux preneurs d'assurance. En l'espèce, les recourants affirment qu'ils escomptaient légitimement, en l'absence de déclarations contraires de leur co-contractant, qu'au moins 90 à 95% de leurs primes d'assurance seraient investis dans les parts de fonds de placement et constitueraient la base de calcul du rendement du capital investi. Ils se réfèrent également à cet égard, par analogie, à l'art. 11 de la loi sur les bourses (LBVM; RS 954.1), qui obligerait les négociants en valeurs mobilières à faire connaître spontanément à leurs clients les montants des frais bancaires si ceux-ci dépassent les valeurs usuelles. Selon les recourants, l'intimée était ainsi tenue de les informer du montant des frais prélevés sur leurs primes (et ascendant à 30% de celles-ci) et, compte tenu du non-respect de ce devoir d'information, les polices litigieuses auraient été valablement invalidées.</w:t>
      </w:r>
    </w:p>
    <w:p>
      <w:r>
        <w:rPr>
          <w:b/>
        </w:rPr>
        <w:t>E. 2.4</w:t>
      </w:r>
    </w:p>
    <w:p>
      <w:r>
        <w:t>Comme l'a retenu l'autorité cantonale (cf. consid. 2.2 supra), les recourants ne soutiennent pas qu'ils auraient été trompés sur les montants des capitaux en cas de vie estimés dans les propositions qu'ils avaient signées, estimations dont il a été constaté qu'elles avaient été déterminantes pour les amener à conclure les contrats litigieux; en particulier, ils ont renoncé à tenter de démontrer que ces montants seraient mathématiquement impossibles à atteindre compte tenu de la durée du contrat, du montant des primes, du rendement prévu des parts de fonds de placement dans lesquels celles-ci devaient être investies et des frais d'acquisition de ces parts de fonds de placement.</w:t>
      </w:r>
    </w:p>
    <w:p>
      <w:r>
        <w:t>Dès lors que les recourants limitent leurs reproches aux montants des frais prélevés sur leurs primes, la question qui se pose est celle de savoir si le montant de ces frais s'écartait des valeurs usuelles pour ce type de contrats. Ce n'est en effet que dans cette hypothèse que l'on pourrait considérer que l'intimée avait un devoir, découlant des règles de la bonne foi, d'informer spontanément les recourants - qui ne s'étaient pas souciés de ce point - du montant des frais en question.</w:t>
      </w:r>
    </w:p>
    <w:p>
      <w:r>
        <w:t>Savoir ce qui est usuel est une question de fait ( ATF 128 III 22 consid. 2c p. 25; 117 II 286 consid. 5a; 113 II 25 consid. 1a). Or les recourants, auxquels incombait le fardeau de la preuve ( art. 8 CC ; Ingeborg Schwenzer, Basler Kommentar, 4e éd. 2007, n. 26 ad art. 28 CO ), n'ont pas établi quels étaient les frais usuellement prélevés dans les assurances-vie liées à des fonds de placement ni, par voie de conséquence, que ceux-ci seraient moins élevés que les frais litigieux. Cela étant, comme il n'est pas établi que l'intimée aurait dissimulé aux recourants des faits qu'elle aurait eu le devoir de leur révéler en vertu des règles de la bonne foi, et encore moins qu'elle aurait intentionnellement trompé les recourants sur ce point, la Cour de justice n'a pas violé le droit fédéral en rejetant le moyen tiré du dol.</w:t>
      </w:r>
    </w:p>
    <w:p>
      <w:r>
        <w:rPr>
          <w:b/>
        </w:rPr>
        <w:t>E. 3</w:t>
      </w:r>
    </w:p>
    <w:p>
      <w:r>
        <w:t>Les recourants soutiennent avoir conclu les contrats d'assurance litigieux sous l'empire d'une erreur sur des faits que la loyauté commerciale leur permettait de considérer comme des éléments nécessaires du contrat ( art. 23 et 24 al. 1 ch. 4 CO ) pour n'avoir pas été informés sur le montant des frais d'acquisition des parts de fonds de placement.</w:t>
      </w:r>
    </w:p>
    <w:p>
      <w:r>
        <w:rPr>
          <w:b/>
        </w:rPr>
        <w:t>E. 3.1</w:t>
      </w:r>
    </w:p>
    <w:p>
      <w:r>
        <w:t>Selon l' art. 23 CO , le contrat n'oblige pas celle des parties qui, au moment de le conclure, était dans une erreur essentielle. L'erreur est essentielle notamment lorsqu'elle porte sur des faits que la loyauté commerciale permettait à celui qui se prévaut de son erreur de considérer comme des éléments nécessaires du contrat ( art. 24 al. 1 ch. 4 CO , qui se rapporte à ce que l'on appelle communément l'erreur de base). Un contractant peut invoquer l'erreur de base s'il s'est trompé sur un point déterminé qu'il considérait comme un élément nécessaire du contrat et dont l'autre partie a reconnu ou pouvait reconnaître qu'il avait un tel caractère; il faut encore que l'erreur concerne un fait qu'il est objectivement justifié de considérer comme un élément essentiel ( ATF 118 II 297 consid. 2c; 114 II 131 consid. 2 p. 139; 113 II 25 consid. 1; 109 II 319 consid. 4 et les arrêts cités; arrêt 4C.335/1999 du 25 août 2000, consid. 4c/aa).</w:t>
      </w:r>
    </w:p>
    <w:p>
      <w:r>
        <w:t>Pour une contestation selon l' art. 24 al. 1 ch. 4 CO , même une erreur due à la négligence conduit en principe à l'annulabilité du contrat; toutefois, en application des règles de la bonne foi, on doit tirer certaines conclusions du comportement de chaque partie; si une partie ne se soucie pas, lors de la conclusion du contrat, d'éclaircir une question particulière, bien qu'elle se pose manifestement, l'autre partie peut en déduire que ce point est sans importance pour son cocontractant en vue de la conclusion du contrat ( ATF 129 III 363 consid. 5.3; 117 II 218 consid. 3b).</w:t>
      </w:r>
    </w:p>
    <w:p>
      <w:r>
        <w:rPr>
          <w:b/>
        </w:rPr>
        <w:t>E. 3.2</w:t>
      </w:r>
    </w:p>
    <w:p>
      <w:r>
        <w:t>Examinant si, comme le soutenaient les recourants, les conditions d'une erreur essentielle étaient réalisées, la cour cantonale s'est référée au raisonnement qu'elle avait développé en relation avec le moyen tiré du dol (cf. consid. 2.2 supra). Elle a considéré que tous les éléments nécessaires aux contrats - incluant la durée de ceux-ci, le montant des primes, le capital assuré en cas de décès et une estimation du capital qui reviendrait au preneur en cas de vie à l'échéance contractuelle - avaient été présentés aux recourants par l'intimée. En outre, les conditions générales d'assurance remises aux recourants mentionnaient l'existence d'une autre société chargée de la gestion des investissements dans les fonds de placement. Comme les recourants, qui n'ignoraient pas l'existence de frais liés à l'acquisition des parts de fonds de placement, n'avaient posé aucune question sur le montant de ces frais, l'intimée pouvait selon les juges cantonaux en déduire qu'il ne s'agissait pas pour eux d'un élément essentiel du contrat. Dans ces conditions, une invalidation du contrat pour erreur essentielle ne pouvait pas être admise.</w:t>
      </w:r>
    </w:p>
    <w:p>
      <w:r>
        <w:rPr>
          <w:b/>
        </w:rPr>
        <w:t>E. 3.3</w:t>
      </w:r>
    </w:p>
    <w:p>
      <w:r>
        <w:t>Les recourants se plaignent d'une mauvaise application des art. 23 et 24 al. 1 ch. 4 CO par la Cour de justice. Ils font valoir qu'ils s'attendaient certes à l'existence des frais d'acquisition mais pas à leur montant exorbitant, pensant qu'au moins 90 à 95% de leurs primes d'assurance seraient investis dans les parts de fonds de placement et constitueraient la base de calcul du rendement du capital investi. Selon les recourants, le fait que le rendement de 6%, respectivement 8% selon le fonds de placement proposé, soit basé sur moins de 70% des primes payées avait manifestement un impact sur le capital qu'ils espéraient toucher en cas de vie; leur erreur portait ainsi sur des faits- la valeur des prestations contractuelles de l'intimée - qui devaient être considérés comme essentiels selon la loyauté commerciale.</w:t>
      </w:r>
    </w:p>
    <w:p>
      <w:r>
        <w:rPr>
          <w:b/>
        </w:rPr>
        <w:t>E. 3.4</w:t>
      </w:r>
    </w:p>
    <w:p>
      <w:r>
        <w:t>Les griefs des recourants se révèlent dénués de fondement. En effet, comme cela a déjà été relevé (cf. consid. 2.4 supra), les recourants ont renoncé à tenter de démontrer que les montants des capitaux en cas de vie estimés dans les propositions qu'ils avaient signées - estimations dont il a été constaté qu'elles avaient été déterminantes pour les amener à conclure les contrats litigieux - seraient mathématiquement impossibles à atteindre compte tenu de la durée du contrat, du montant des primes, du rendement prévu des parts de fonds de placement dans lesquels celles-ci devaient être investies et des frais d'acquisition de ces parts de fonds de placement. N'ayant en d'autres termes pas établi qu'en investissant moins de 70% du montant brut des primes dans des parts de fonds de placement avec un rendement prévisible de 6%, respectivement de 8%, il n'était pas possible d'atteindre les montants estimés dans les propositions d'assurance, les recourants ne sauraient prétendre avoir été dans l'erreur au sujet de la valeur des prestations contractuelles de l'intimée, expressément estimée par celle-ci dans les propositions d'assurance. Comme les recourants n'ont posé aucune question sur le montant des frais d'acquisition dont ils n'ignoraient pas l'existence - et dont il n'est au demeurant pas établi qu'ils seraient plus élevés que les frais usuellement prélevés dans ce type de produit (cf. consid. 2.4 supra) -, l'intimée pouvait en déduire que ce point n'était pas essentiel pour les recourants en vue de la conclusion des contrats d'assurance. Partant, la cour cantonale n'a pas violé le droit fédéral en considérant que ces contrats ne pouvaient pas être invalidés pour erreur essentielle.</w:t>
      </w:r>
    </w:p>
    <w:p>
      <w:r>
        <w:rPr>
          <w:b/>
        </w:rPr>
        <w:t>E. 4</w:t>
      </w:r>
    </w:p>
    <w:p>
      <w:r>
        <w:t>Il résulte de ce qui précède que le recours, mal fondé, doit être rejeté. Les recourants, qui succombent, supporteront les frais judiciaires ( art. 66 al. 1 LTF ) et verseront à l'intimée une indemnité à titre de dépens ( art. 68 al. 1, 2 et 4 LTF ); conformément aux art. 66 al. 5 et 68 al. 4 LTF, ils supporteront solidairement les frais judiciaires et les dépens ainsi mis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