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4A_314/2024 vom 13. Juni 2024</w:t>
      </w:r>
    </w:p>
    <w:p>
      <w:r>
        <w:t>Bundesgericht, 2024-06-13, DE</w:t>
      </w:r>
    </w:p>
    <w:p>
      <w:r>
        <w:rPr>
          <w:b/>
        </w:rPr>
        <w:t xml:space="preserve">Quelle: </w:t>
      </w:r>
      <w:r>
        <w:t>https://mcp.opencaselaw.ch/entscheid/bger_4A_314_2024</w:t>
      </w:r>
    </w:p>
    <w:p>
      <w:r>
        <w:t>FR: TF 4A_314/2024 du 13 juin 2024</w:t>
      </w:r>
    </w:p>
    <w:p>
      <w:r>
        <w:t>IT: TF 4A_314/2024 del 13 giugno 2024</w:t>
      </w:r>
    </w:p>
    <w:p>
      <w:pPr>
        <w:pStyle w:val="Heading2"/>
      </w:pPr>
      <w:r>
        <w:t>Erwägungen</w:t>
      </w:r>
    </w:p>
    <w:p>
      <w:r>
        <w:rPr>
          <w:b/>
        </w:rPr>
        <w:t>E. 1</w:t>
      </w:r>
    </w:p>
    <w:p>
      <w:r>
        <w:t>Mit Urteil vom 14. August 2023 wies das Mietgericht des Bezirksgerichts Meilen die Klage der Beschwerdegegnerin auf Feststellung, dass die von ihr per 31. März 2023 erklärte Kündigung betreffend das Mietverhältnis über die Geschäftsräume an der U.________strasse in V.________ gültig und wirksam ist, ab und stellte die Ungültigkeit der ausgesprochenen Kündigung vom 1. April 2022 fest.</w:t>
      </w:r>
    </w:p>
    <w:p>
      <w:r>
        <w:t>Mit Urteil vom 12. März 2024 hiess das Obergericht des Kantons Zürich eine von der Beschwerdegegnerin gegen den mietgerichtlichen Entscheid vom 14. August 2023 erhobene Berufung gut, hob das angefochtene Urteil auf und stellte fest, dass die von der Beschwerdegegnerin mit amtlich genehmigtem Formular vom 1. April 2022 erklärte Kündigung gültig ist. Zudem wies es die Sache zur Entscheidung über das Erstreckungsbegehren der Beschwerdeführerin an die Vorinstanz zurück.</w:t>
      </w:r>
    </w:p>
    <w:p>
      <w:r>
        <w:t>Mit Eingabe vom 24. Mai 2024 erklärte die Beschwerdeführerin dem Bundesgericht, das Urteil des Obergerichts des Kantons Zürich vom 12. März 2024 mit Beschwerde anfechten zu wollen.</w:t>
      </w:r>
    </w:p>
    <w:p>
      <w:r>
        <w:t>Mit Verfügung vom 27. Mai 2024 wurde das Gesuch um Erteilung der aufschiebenden Wirkung abgewiesen.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Das angefochtene Urteil des Obergerichts des Kantons Zürich vom 12. März 2024, mit dem die Sache zur Entscheidung über das Erstreckungsbegehren der Beschwerdeführerin an das Mietgericht zurückgewiesen wurde, schliesst das Verfahren nicht ab, weshalb entgegen der Ansicht der Beschwerdeführerin kein Endentscheid ( Art. 90 BGG ) vorliegt. Vielmehr handelt es sich nach ständiger Rechtsprechung des Bundesgericht um einen Zwischenentscheid im Sinne von Art. 93 BGG (Urteile 4A_719/2016 vom 31. August 2017 E. 1.2.2; 4A_170/2014 vom 23. Juli 2014 E. 1; 4A_724/2012 vom 19. April 2013 E. 1; 4A_439/2008 vom 12. November 2008 E. 1; vgl. auch BGE 146 III 254 E. 2.2.1).</w:t>
      </w:r>
    </w:p>
    <w:p>
      <w:r>
        <w:t>Dagegen ist die Beschwerde nach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Die Beschwerdeführerin zeigt in keiner Weise auf, inwiefern diese Voraussetzungen im konkreten Fall erfüllt sein sollen. Die Eintretensvoraussetzungen sind daher offensichtlich nicht erfüllt.</w:t>
      </w:r>
    </w:p>
    <w:p>
      <w:r>
        <w:t>Auf die Beschwerde ist im vereinfachten Verfahren nach Art. 108 Abs. 1 lit. a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