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4A_311/2011 vom 19. Juli 2011</w:t>
      </w:r>
    </w:p>
    <w:p>
      <w:r>
        <w:t>Bundesgericht, 2011-07-19, FR</w:t>
      </w:r>
    </w:p>
    <w:p>
      <w:r>
        <w:rPr>
          <w:b/>
        </w:rPr>
        <w:t xml:space="preserve">Quelle: </w:t>
      </w:r>
      <w:r>
        <w:t>https://mcp.opencaselaw.ch/entscheid/bger_4A_311_2011</w:t>
      </w:r>
    </w:p>
    <w:p>
      <w:r>
        <w:t>FR: TF 4A_311/2011 du 19 juillet 2011</w:t>
      </w:r>
    </w:p>
    <w:p>
      <w:r>
        <w:t>IT: TF 4A_311/2011 del 19 luglio 2011</w:t>
      </w:r>
    </w:p>
    <w:p>
      <w:pPr>
        <w:pStyle w:val="Heading2"/>
      </w:pPr>
      <w:r>
        <w:t>Erwägungen</w:t>
      </w:r>
    </w:p>
    <w:p>
      <w:r>
        <w:rPr>
          <w:b/>
        </w:rPr>
        <w:t>E. 1.1</w:t>
      </w:r>
    </w:p>
    <w:p>
      <w:r>
        <w:t>Interjeté par la partie ayant succombé devant la Chambre des recours ( art. 76 al. 1 LTF ) et dirigé contre une décision finale ( art. 90 LTF ) rendue en matière civile ( art. 72 al. 1 LTF ) par une autorité cantonale de dernière instance ( art. 75 al. 1 LTF ) dans une affaire dont la valeur litigieuse (52'425 fr. 70) atteint le seuil fixé à l' art. 74 al. 1 let. b LTF , le présent recours en matière civile, qui a été déposé dans le délai ( art. 100 al. 1 LTF ) et la forme ( art. 42 LTF ) prévus par la loi, est recevable.</w:t>
      </w:r>
    </w:p>
    <w:p>
      <w:r>
        <w:rPr>
          <w:b/>
        </w:rPr>
        <w:t>E. 1.2</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134 III 102 consid. 1.1 p. 104). Compte tenu de l'exigence de motivation figurant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1.3</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135 III 127 consid. 1.5 p. 130, 397 consid. 1.5 p. 401)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ce défaut, il n'est pas possible de tenir compte d'un état de fait qui diverge de celui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un premier moyen, le recourant reproche à l'autorité précédente d'avoir violé les art. 29 al. 2 Cst. et 112 al. 1 let. b LTF.</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t>Pour que le Tribunal fédéral soit en mesure de vérifier si le droit fédéral a été correctement appliqué en relation avec les questions soulevées, il est nécessaire que la décision attaquée contienne les motifs déterminants de fait et de droit, notamment les dispositions légales appliquées ( art. 112 al. 1 let. b LTF ). Il résulte de cette norme que la décision attaquée doit indiquer clairement les faits qui sont établis et les déductions juridiques qui en sont tirées ( ATF 135 II 145 consid. 8.2 et les références citées). Savoir quels sont les faits déterminants revêt une importance particulière dans la mesure où le Tribunal fédéral est en principe lié, en vertu de l' art. 105 al. 1 LTF , par ceux que l'autorité précédente a établis. Un état de fait insuffisant empêche l'application des règles de droit pertinentes à la cause. Un tel manquement constitue donc une violation du droit que le Tribunal fédéral peut constater d'office (cf. ATF 135 II 145 consid. 8.2, précité).</w:t>
      </w:r>
    </w:p>
    <w:p>
      <w:r>
        <w:rPr>
          <w:b/>
        </w:rPr>
        <w:t>E. 2.2</w:t>
      </w:r>
    </w:p>
    <w:p>
      <w:r>
        <w:t>Selon le recourant, on ne comprendrait pas, à la lecture de l'arrêt attaqué, si la cour cantonale a constaté la volonté réelle des parties, en rapport avec les soumissions des 22 et 25 octobre 2000, pour en déduire qu'une nouvelle relation contractuelle avait vu le jour et exclure, partant, la thèse de la reprise du contrat existant ou si elle a tiré semblable conclusion d'une interprétation objective des déclarations et comportements des parties. Au cas où la première hypothèse devrait être retenue, force serait alors de constater, de l'avis du recourant, le caractère manifestement lacunaire et contradictoire de l'arrêt attaqué.</w:t>
      </w:r>
    </w:p>
    <w:p>
      <w:r>
        <w:t>Un principe juridique posé de longue date veut que l'interprétation subjective ait la priorité sur l'interprétation objective ( ATF 131 III 606 consid. 4.1 p. 611 et les arrêts cités). A supposer que la cour cantonale ait violé ce principe, en ne tentant pas d'établir, au préalable, la volonté réelle des parties sur la base des faits déterminants et dûment prouvés ressortant de son dossier, il faudrait lui renvoyer la cause afin qu'elle procède aux constatations nécessaires. Ce n'est toutefois pas le cas. Il ressort de l'état de fait du jugement de première instance, repris par l'autorité intimée, que les preuves administrées, en particulier l'audition des témoins, ont démontré "l'importante confusion régnant entre les différents protagonistes à propos des faits", "aucun des témoins entendus [n'ayant] pu indiquer de façon précise quels accords avaient été passés ou non", au point que "le juge civil [était] placé devant la même perplexité que le juge pénal" (jugement du Tribunal d'arrondissement, p. 39 consid. 11). De ce constat d'échec, on peut déduire que l'autorité précédente n'a pas méconnu la règle accordant la priorité à l'interprétation subjective, mais n'est pas parvenue à mettre au jour une volonté commune aux parties impliquées dans la présente cause, raison pour laquelle elle a procédé à une interprétation objective des volontés manifestées de part et d'autre. Au demeurant, le recourant, qui affirme ne pas contester qu'il n'y ait pas eu volonté réelle et concordante des parties, indique lui-même que les juges cantonaux ont apparemment procédé à une interprétation objective (mémoire, p. 6 n. 8).</w:t>
      </w:r>
    </w:p>
    <w:p>
      <w:r>
        <w:t>Pour le surplus, comme on peut s'en convaincre à la lecture de l'état de fait du jugement de première instance, adopté par les magistrats cantonaux, et du résumé de l'argumentation présentée par ceux-ci, tel qu'il a été fait plus haut (let. B.c), la Chambre des recours n'a de toute évidence pas méconnu les exigences en matière de motivation découlant des deux dispositions invoquées par le recourant.</w:t>
      </w:r>
    </w:p>
    <w:p>
      <w:r>
        <w:t>Le moyen pris de la violation des art. 29 al. 2 Cst. et 112 al. 1 let. b LTF tombe, dès lors, à faux.</w:t>
      </w:r>
    </w:p>
    <w:p>
      <w:r>
        <w:rPr>
          <w:b/>
        </w:rPr>
        <w:t>E. 3</w:t>
      </w:r>
    </w:p>
    <w:p>
      <w:r>
        <w:t>Sur le fond, le recourant fait grief à la cour cantonale d'avoir violé le principe de la confiance en n'admettant pas que les soumissions des 22 et 25 octobre 2000 constituaient une reprise du contrat conclu le 18 octobre 1999. A son avis, il se serait agi d'un transfert de contrat limité, produisant ses effets à compter de la signature de ces deux soumissions, de sorte que l'intimée ne pourrait rien lui réclamer au titre des travaux effectués avant le transfert. Au reste, le transfert eût-il été illimité, l'intimée devrait alors se laisser opposer l'objection tirée du fait que le maître de l'ouvrage a payé un total de 213'700 fr. pour l'ensemble des travaux, montant à imputer sur le prix de ceux-ci, arrêté à 221'398 fr. 65, ce qui ramènerait le solde impayé de la créance de l'intimée à 7'698 fr. 65.</w:t>
      </w:r>
    </w:p>
    <w:p>
      <w:r>
        <w:rPr>
          <w:b/>
        </w:rPr>
        <w:t>E. 3.1.1</w:t>
      </w:r>
    </w:p>
    <w:p>
      <w:r>
        <w:t>Si la volonté réelle des parties ne peut pas être établie, comme c'est ici le cas,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ATF 136 III 186 consid. 3.2.1 p. 188; 135 III 410 consid. 3.2 p. 413).</w:t>
      </w:r>
    </w:p>
    <w:p>
      <w:r>
        <w:rPr>
          <w:b/>
        </w:rPr>
        <w:t>E. 3.1.2</w:t>
      </w:r>
    </w:p>
    <w:p>
      <w:r>
        <w:t>La cession d'un contrat (ou transfert de contrat; "Vertragsübernahme") n'est pas expressément réglée dans le Code des obligations. Il s'agit d'un contrat sui generis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 4C.141/1996 du 6 mars 1997 consid. 2b avec de nombreuses références).</w:t>
      </w:r>
    </w:p>
    <w:p>
      <w:r>
        <w:t>En cas de transfert illimité d'un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En revanche, lorsque le transfert est limité, le nouveau cocontractant remplace la partie sortante dans le contrat de base uniquement pour la période postérieure au transfert. Déterminer si un transfert de contrat conventionnel est illimité ou limité est affaire d'interprétation. En cas de doute sur la volonté des parties, il faut se référer à l'intérêt supposé du nouveau cocontractant au transfert (arrêt 4A_665/2010 du 1er mars 2011 consid. 4.1 et les auteurs cités; voir aussi: CHRISTOPH BAUER, Parteiwechsel im Vertrag: Vertragsübertragung und Vertragsübergang, 2010, nos 334 ss). Lorsque le contrat de base est un contrat de durée, l'intérêt du nouveau cocontractant est en principe de convenir d'un transfert limité (arrêt 4A_79/2010 du 29 avril 2010 consid. 2.4 et les références, in SJ 2010 I p. 459).</w:t>
      </w:r>
    </w:p>
    <w:p>
      <w:r>
        <w:rPr>
          <w:b/>
        </w:rPr>
        <w:t>E. 3.2</w:t>
      </w:r>
    </w:p>
    <w:p>
      <w:r>
        <w:t>Appliqués aux faits établis par l'autorité précédente, en fonction des arguments avancés de part et d'autre, ces principes juridiques appellent les remarques formulées ci-après.</w:t>
      </w:r>
    </w:p>
    <w:p>
      <w:r>
        <w:rPr>
          <w:b/>
        </w:rPr>
        <w:t>E. 3.2.1</w:t>
      </w:r>
    </w:p>
    <w:p>
      <w:r>
        <w:t>Dans son analyse de la situation, le recourant met avant tout l'accent sur la sauvegarde de ses propres intérêts et, singulièrement, sur son souci d'éviter de payer à double le prix des travaux déjà exécutés par B.________. Une telle approche, unilatérale et par trop réductrice, ne tient pas compte du contexte particulier dans lequel les soumissions des 22 et 25 octobre 2000 ont été signées.</w:t>
      </w:r>
    </w:p>
    <w:p>
      <w:r>
        <w:t>Il sied de rappeler, à ce propos, que les travaux en question faisaient l'objet, au départ, d'un contrat d'entreprise ( art. 363 ss CO ), conclu par la signature de la soumission du 18 octobre 1999, lequel avait pour parties le recourant, en qualité de maître de l'ouvrage, et A.________, comme entrepreneur. Sur cette relation contractuelle est venue se greffer un second rapport, de même nature, noué par ledit entrepreneur, en tant que maître de l'ouvrage, avec B.________, comme entrepreneur et sous-traitant. En droit, les conséquences résultant de cette double relation étaient claires: bien que les travaux fussent exécutés au profit du recourant, puisqu'ils concernaient la construction de sa villa, il n'existait aucun lien juridique entre ce dernier et l'entreprise qui les exécutait concrètement, à savoir B.________. Celle-ci n'avait pour cocontractante que A.________, qui était l'unique débitrice du prix des travaux exécutés en sous-traitance.</w:t>
      </w:r>
    </w:p>
    <w:p>
      <w:r>
        <w:t>Or, cette situation initiale, qui était limpide, a évolué avec le temps et s'est compliquée l'année suivante, du fait que B.________ avait manifesté l'intention de se retirer du chantier, n'étant plus payée par A.________. Il s'est donc agi pour le recourant de la retenir, parce qu'il souhaitait qu'elle achevât les travaux en cours. C'est pour cette raison qu'il a choisi la solution consistant à lui confier directement l'exécution des travaux, ce qui supposait que A.________, sa cocontractante, consentît à ne pas poursuivre l'exécution du contrat d'entreprise la liant à lui. Voilà pourquoi les trois parties ont signé les soumissions des 22 et 25 octobre 2000. Il va de soi que B.________, désireuse d'être payée pour le travail déjà accompli, n'avait pas grand avantage à rester sur le chantier et à se lier directement au maître de l'ouvrage s'il lui fallait faire son deuil des factures en souffrance. Son intérêt à elle, qui ne pouvait échapper au recourant, était de prêter la main à une construction juridique qui lui permît de rentrer dans ses fonds, alors que les travaux étaient déjà bien avancés à l'époque de la signature des soumissions. Sans doute cet intérêt-là et celui du recourant, qui estimait avoir payé son dû, ne concordaient-ils pas. Toutefois, le maître de l'ouvrage ne pouvait raisonnablement pas partir de l'idée que B.________ acceptait de renoncer au paiement de sa créance, laquelle ne pourrait apparemment plus être recouvrée auprès de A.________, à la seule fin de poursuivre et d'achever l'ouvrage dont l'exécution lui avait été confiée. Quant à sa situation à lui, elle n'eût guère été plus enviable si les choses étaient demeurées en l'état: non seulement, il aurait dû mettre en oeuvre une entreprise tierce pour terminer les travaux, avec les désagréments que cette démarche eût occasionnés; mais, surtout, il courait le risque de voir B.________ requérir l'inscription d'une hypothèque légale des artisans et entrepreneurs ( art. 837 al. 1 let. 3 CC ) sur sa villa en garantie de la créance impayée et, partant, de devoir payer celle-ci à double en tout état de cause.</w:t>
      </w:r>
    </w:p>
    <w:p>
      <w:r>
        <w:t>Il convient de garder ces considérations à l'esprit pour interpréter les actes juridiques litigieux.</w:t>
      </w:r>
    </w:p>
    <w:p>
      <w:r>
        <w:rPr>
          <w:b/>
        </w:rPr>
        <w:t>E. 3.2.2</w:t>
      </w:r>
    </w:p>
    <w:p>
      <w:r>
        <w:t>La cour cantonale constate que les travaux d'isolation extérieure formant l'objet de la soumission du 25 octobre 2000 n'ont pas d'équivalent dans ceux pour lesquels A.________ avait soumissionné le 18 octobre 1999. Cette constatation suffit à exclure, pour ces travaux-là, du fait de leur nouveauté, l'existence d'un transfert à B.________ du contrat ayant lié le recourant et ladite entreprise, ce contrat ayant un autre objet (travaux de gypserie et de peinture).</w:t>
      </w:r>
    </w:p>
    <w:p>
      <w:r>
        <w:rPr>
          <w:b/>
        </w:rPr>
        <w:t>E. 3.2.3</w:t>
      </w:r>
    </w:p>
    <w:p>
      <w:r>
        <w:t>S'agissant de la soumission du 22 octobre 2000, la situation est plus délicate. De fait, celle-ci reprend formellement la page de garde et le canevas de la soumission qui avait été établie le 18 octobre 1999 par A.________. A certaines positions, toutefois, des éléments ont été supprimés, introduits ou modifiés et le montant des travaux a été recalculé. La cour cantonale en déduit que B.________ a ainsi porté sa propre appréciation sur les travaux à exécuter et ne s'est pas bornée à adhérer à un contrat préexistant. Pareille déduction, relative au comportement d'une partie, relève du fait et lie le Tribunal fédéral. La conséquence juridique qu'en ont tirée les juges cantonaux, à savoir que l'on ne se trouve pas en présence d'un transfert de contrat mais bien d'un nouveau contrat liant le recourant et B.________, n'apparaît pas contraire au droit fédéral, surtout si on la considère dans le contexte sus-indiqué (cf. consid. 3.2.1). Aussi bien, étant donné les circonstances, le comportement du recourant pouvait être compris de bonne foi par B.________ en ce sens que le propriétaire de la villa entendait faire table rase de ses accords le liant à A.________, d'entente avec cette dernière qui avait déjà touché ce qui lui était dû, pour se lier directement à elle sur de nouvelles bases, c'est-à-dire pour lui confier l'intégralité des travaux initialement adjugés à A.________ et en payer le prix, sous déduction de ce qu'elle avait touché en rémunération des travaux déjà exécutés.</w:t>
      </w:r>
    </w:p>
    <w:p>
      <w:r>
        <w:t>Les arguments que le recourant oppose à cette interprétation ne sont pas déterminants:</w:t>
      </w:r>
    </w:p>
    <w:p>
      <w:r>
        <w:t>- contrairement à l'avis du recourant, les termes "en substitution de A.________", ajoutés au pied des soumissions des 22 et 25 octobre 2000, n'impliquaient pas nécessairement la reprise d'un contrat existant, à l'exclusion de la conclusion d'un nouveau contrat. En effet, remplacer une personne, se substituer à elle pour l'exécution d'un contrat, est un acte qui se concilie tant avec la création d'une nouvelle relation contractuelle qu'avec la reprise d'un rapport contractuel existant;</w:t>
      </w:r>
    </w:p>
    <w:p>
      <w:r>
        <w:t>- le fait qu'une partie des travaux figurant dans la soumission du 22 octobre 2000 avait déjà été exécutée au titre de la soumission du 18 octobre 1999 n'excluait pas davantage la conclusion d'un nouvel accord global, avec effet ex tunc, qui réglerait le sort des obligations des cocontractants, et singulièrement celui du paiement de l'ouvrage, tant pour ces travaux-là que pour les travaux à venir, et qui tiendrait compte de la sortie de l'un des cocontractants initiaux;</w:t>
      </w:r>
    </w:p>
    <w:p>
      <w:r>
        <w:t>- par ailleurs, si rien n'interdisait aux parties de prévoir la reprise du contrat existant, tout en modifiant celui-ci, rien ne les empêchait non plus de ne pas le faire et de se lier sur de nouvelles bases;</w:t>
      </w:r>
    </w:p>
    <w:p>
      <w:r>
        <w:t>- enfin, les témoignages de V.________ et de W.________, associés de C.________, quant aux assurances qui auraient été données à B.________ relativement au paiement de ses travaux de sous-traitant et au fait que ces personnes s'occuperaient de récupérer les acomptes déjà versés en intervenant auprès de A.________, sont tout sauf clairs et pouvaient n'avoir pour but, comme l'a retenu la cour cantonale, que de convaincre B.________ d'entamer des pourparlers contractuels avec le recourant; on ajoutera, comme on l'a déjà souligné, que, de l'avis des premiers juges, il n'y avait rien de déterminant à tirer de ces témoignages, qui émanaient de personnes ayant ou ayant eu des liens professionnels et/ou d'amitié avec l'une ou l'autre des parties.</w:t>
      </w:r>
    </w:p>
    <w:p>
      <w:r>
        <w:rPr>
          <w:b/>
        </w:rPr>
        <w:t>E. 3.2.4</w:t>
      </w:r>
    </w:p>
    <w:p>
      <w:r>
        <w:t>En conformité avec leur qualification juridique des soumissions des 22 et 25 octobre 2000, les juges cantonaux ont admis à bon droit que seuls pouvaient être imputés sur la créance de B.________, transférée à l'intimée, qu'ils ont arrêtée à 221'398 fr. 65, les acomptes que cette entreprise avait effectivement perçus, soit 168'972 fr. 96, bien qu'ils fussent inférieurs à la totalité des acomptes que le recourant avait versés à cette entreprise et à A.________ (213'700 fr.). Par conséquent, c'est à juste titre qu'ils ont condamné le recourant à verser la différence de 52'425 fr. 70 à l'intimée.</w:t>
      </w:r>
    </w:p>
    <w:p>
      <w:r>
        <w:t>Le recours sera, dès lors, rejeté sans qu'il soit nécessaire d'entrer en matière sur l'argumentation de son auteur fondée sur l'existence d'un transfert de contrat, cette figure juridique ayant été écartée en l'espèce.</w:t>
      </w:r>
    </w:p>
    <w:p>
      <w:r>
        <w:rPr>
          <w:b/>
        </w:rPr>
        <w:t>E. 4</w:t>
      </w:r>
    </w:p>
    <w:p>
      <w:r>
        <w:t>Le recourant,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