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4A_310/2023 vom 4. August 2023</w:t>
      </w:r>
    </w:p>
    <w:p>
      <w:r>
        <w:t>Bundesgericht, 2023-08-04, FR</w:t>
      </w:r>
    </w:p>
    <w:p>
      <w:r>
        <w:rPr>
          <w:b/>
        </w:rPr>
        <w:t xml:space="preserve">Quelle: </w:t>
      </w:r>
      <w:r>
        <w:t>https://mcp.opencaselaw.ch/entscheid/bger_4A_310_2023</w:t>
      </w:r>
    </w:p>
    <w:p>
      <w:r>
        <w:t>FR: TF 4A_310/2023 du 4 août 2023</w:t>
      </w:r>
    </w:p>
    <w:p>
      <w:r>
        <w:t>IT: TF 4A_310/2023 del 4 agosto 2023</w:t>
      </w:r>
    </w:p>
    <w:p>
      <w:pPr>
        <w:pStyle w:val="Heading2"/>
      </w:pPr>
      <w:r>
        <w:t>Erwägungen</w:t>
      </w:r>
    </w:p>
    <w:p>
      <w:r>
        <w:rPr>
          <w:b/>
        </w:rPr>
        <w:t>E. 1</w:t>
      </w:r>
    </w:p>
    <w:p>
      <w:r>
        <w:t>L'arrêt attaqué est une décision séparée relative à une demande de récusation; il peut faire l'objet d'un recours ( art. 92 al. 1 LTF ) et doit être immédiatement attaqué en vertu de l' art. 92 al. 2 LTF (arrêts 4A_571/2021 du 15 mars 2022 consid. 1; 4A_272/2021 du 26 août 2021 consid. 1).</w:t>
      </w:r>
    </w:p>
    <w:p>
      <w:r>
        <w:t>Par ailleurs, les autres conditions de recevabilité du recours en matière civile sont réalisées sur le principe, notamment celles afférentes à la valeur litigieuse minimale ( art. 74 LTF ) et au délai de recours ( art. 100 al. 1 LTF ).</w:t>
      </w:r>
    </w:p>
    <w:p>
      <w:r>
        <w:rPr>
          <w:b/>
        </w:rPr>
        <w:t>E. 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Dans un unique moyen, le recourant, dénonçant la violation de l' art. 47 al. 1 let . f CPC, reproche à la cour cantonale de n'avoir pas prononcé la récusation du magistrat mis en cause.</w:t>
      </w:r>
    </w:p>
    <w:p>
      <w:r>
        <w:rPr>
          <w:b/>
        </w:rPr>
        <w:t>E. 3.1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140 III 221 consid. 4.1; 139 III 433 consid. 2.1.2).</w:t>
      </w:r>
    </w:p>
    <w:p>
      <w:r>
        <w:t>L' art. 47 CPC dresse une liste exhaustive des motifs de récusation. Les magistrats et fonctionnaires judiciaires sont récusables dans les cas énumérés à l'art. 47 al. 1 let. a-e CPC. Ils sont aussi récusables, selon l' art. 47 al. 1 let . f CPC - qui constitue une clause générale -, s'ils sont "de toute autre manière" suspects de partialité.</w:t>
      </w:r>
    </w:p>
    <w:p>
      <w:r>
        <w:t>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 ATF 138 IV 142 consid. 2.3; 116 Ia 135 consid. 3a).</w:t>
      </w:r>
    </w:p>
    <w:p>
      <w:r>
        <w:rPr>
          <w:b/>
        </w:rPr>
        <w:t>E. 3.2</w:t>
      </w:r>
    </w:p>
    <w:p>
      <w:r>
        <w:t>Dans la décision attaquée, la cour cantonale souligne que, selon une directive adoptée le 7 juin 2022 par la Cour administrative du Tribunal cantonal vaudois, il appartient aux magistrats de s'adresser à la Dre E.________ pour obtenir un avis sur la pertinence des motifs médicaux invoqués par une partie, lorsque celle-ci sollicite le report d'une audience en se prévalant d'un certificat médical peu explicite. Si elle reconnaît certes que le président a communiqué une information erronée aux parties lors de l'audience du 24 janvier 2023 en leur indiquant que les certificats médicaux produits par le recourant seraient soumis au médecin cantonal et qu'il ne les a pas informées lorsqu'il s'est rendu compte de son inadvertance et s'est adressé à la Dre E.________ le 26 janvier 2023, la juridiction cantonale estime qu'un tel comportement ne permet pas de fonder une apparence de partialité du magistrat incriminé vis-à-vis du recourant. Elle relève, en effet, qu'il s'agit de deux praticiens neutres et impartiaux soumis tous deux aux mêmes devoirs et règles déontologiques. Le fait que le recourant n'ait pas été informé de cette démarche n'y change rien. La juridiction cantonale considère aussi que le président n'a commis aucune erreur en transmettant aux parties le rapport établi par la Dre E.________, puisqu'il a agi dans le respect de la directive précitée. Elle observe du reste que le recourant n'a jamais sollicité que le rapport du médecin amené à se prononcer sur les certificats médicaux litigieux ne soit pas communiqué à son adverse partie. Par surabondance, la cour cantonale souligne que le président a mené l'instruction de manière irréprochable et respectueuse des demandes formulées par le recourant, notamment en lui accordant toutes les prolongations de délai qu'il avait requises, en acceptant de reporter une audience d'instruction fixée le 7 mai 2021 au 7 octobre 2021 et en différant son audition, initialement prévue le 24 août 2022 au 24 janvier 2023. Dans ces circonstances, elle considère que le magistrat incriminé ne saurait se voir suspecter de partialité.</w:t>
      </w:r>
    </w:p>
    <w:p>
      <w:r>
        <w:rPr>
          <w:b/>
        </w:rPr>
        <w:t>E. 3.3</w:t>
      </w:r>
    </w:p>
    <w:p>
      <w:r>
        <w:t>Dans son mémoire de recours, l'intéressé, par une critique au ton appellatoire marqué, se contente d'opposer sa propre appréciation des faits à celle retenue par la juridiction cantonale. Il assoit du reste sa critique sur toute une série d'allégations qui ne ressortent pas de l'arrêt attaqué, sans toutefois soutenir ni démontrer que les faits auraient été établis de manière manifestement inexacte par la juridiction cantonale. En tout état de cause, la Cour de céans ne discerne pas, sur le vu des faits constatés souverainement par l'autorité précédente, en quoi le comportement adopté par le président serait propre à fonder objectivement une suspicion de partialité de sa part vis-à-vis du recourant. Si le magistrat mis en cause a certes communiqué une information inexacte aux parties lors de l'audience du 24 janvier 2023 et ne leur a pas fait savoir - volontairement ou non - qu'il allait s'adresser à une autre praticienne, cela ne permet toutefois pas conclure à l'existence d'une apparence de prévention du président, étant précisé que l'autorité précédente a relevé, sans être véritablement contredite, que ledit magistrat avait eu une attitude irréprochable tout au long de la procédure. La transmission du rapport établi par la E.________ aux parties, opérée par le président dans le respect des règles prévues par la directive adoptée par la juridiction cantonale vaudoise, ne dénote pas davantage une apparence de prévention de la part du magistrat incriminé. Il s'ensuit qu'en rejetant la requête de récusation formée par le recourant, l'autorité précédente n'a pas méconnu l' art. 47 CPC ni les principes en matière de garantie d'un juge indépendant et impartial.</w:t>
      </w:r>
    </w:p>
    <w:p>
      <w:r>
        <w:rPr>
          <w:b/>
        </w:rPr>
        <w:t>E. 4</w:t>
      </w:r>
    </w:p>
    <w:p>
      <w:r>
        <w:t>Au vu de ce qui précède, le recours, manifestement infondé, doit être rejeté dans la mesure de sa recevabilité, selon la procédure simplifiée prévue par l' art. 109 al. 2 let. a LTF .</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