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4A_310/2017 vom 28. Juni 2017</w:t>
      </w:r>
    </w:p>
    <w:p>
      <w:r>
        <w:t>Bundesgericht, 2017-06-28, DE</w:t>
      </w:r>
    </w:p>
    <w:p>
      <w:r>
        <w:rPr>
          <w:b/>
        </w:rPr>
        <w:t xml:space="preserve">Quelle: </w:t>
      </w:r>
      <w:r>
        <w:t>https://mcp.opencaselaw.ch/entscheid/bger_4A_310_2017</w:t>
      </w:r>
    </w:p>
    <w:p>
      <w:r>
        <w:t>FR: TF 4A_310/2017 du 28 juin 2017</w:t>
      </w:r>
    </w:p>
    <w:p>
      <w:r>
        <w:t>IT: TF 4A_310/2017 del 28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4A_310/2017</w:t>
      </w:r>
    </w:p>
    <w:p>
      <w:r>
        <w:t>Verfügung vom 28. Juni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 Ltd.,</w:t>
      </w:r>
    </w:p>
    <w:p>
      <w:r>
        <w:t>vertreten durch Rechtsanwalt Francis Nordmann,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Advokat Fabrizio Gabrielli</w:t>
      </w:r>
    </w:p>
    <w:p>
      <w:r>
        <w:t>und Advokatin Adriana Rama,</w:t>
      </w:r>
    </w:p>
    <w:p>
      <w:r>
        <w:t>Beschwerdegegner.</w:t>
      </w:r>
    </w:p>
    <w:p>
      <w:r>
        <w:t>Gegenstand</w:t>
      </w:r>
    </w:p>
    <w:p>
      <w:r>
        <w:t>Mietvertrag,</w:t>
      </w:r>
    </w:p>
    <w:p>
      <w:r>
        <w:t>Beschwerde gegen den Entscheid des Appellationsgerichts Basel-Stadt vom 2. Mai 2017.</w:t>
      </w:r>
    </w:p>
    <w:p>
      <w:r>
        <w:t>In Erwägung,</w:t>
      </w:r>
    </w:p>
    <w:p>
      <w:r>
        <w:t>dass die Beschwerdeführerin ihre Beschwerde vom 8. Juni 2017 gegen den Entscheid des Appellationsgerichts Basel-Stadt vom 2. Mai 2017 mit Schreiben vom 26. Juni 2017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BGG );</w:t>
      </w:r>
    </w:p>
    <w:p>
      <w:r>
        <w:t>dass dem Beschwerdegegner, dem im Zusammenhang mit dem bundesgerichtlichen Verfahren kein Aufwand entstand, keine Parteientschädigung zuzusprechen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 Verfügung wird den Parteien und dem Appellationsgericht Basel-Stadt schriftlich mitgeteilt.</w:t>
      </w:r>
    </w:p>
    <w:p>
      <w:r>
        <w:t>Lausanne, 28. Juni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