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310/2007 vom 4. Dezember 2007</w:t>
      </w:r>
    </w:p>
    <w:p>
      <w:r>
        <w:t>Bundesgericht, 2007-12-04, FR</w:t>
      </w:r>
    </w:p>
    <w:p>
      <w:r>
        <w:rPr>
          <w:b/>
        </w:rPr>
        <w:t xml:space="preserve">Quelle: </w:t>
      </w:r>
      <w:r>
        <w:t>https://mcp.opencaselaw.ch/entscheid/bger_4A_310_2007</w:t>
      </w:r>
    </w:p>
    <w:p>
      <w:r>
        <w:t>FR: TF 4A 310/2007 du 4 décembre 2007</w:t>
      </w:r>
    </w:p>
    <w:p>
      <w:r>
        <w:t>IT: TF 4A 310/2007 del 4 dicembre 2007</w:t>
      </w:r>
    </w:p>
    <w:p>
      <w:pPr>
        <w:pStyle w:val="Heading2"/>
      </w:pPr>
      <w:r>
        <w:t>Regeste</w:t>
      </w:r>
    </w:p>
    <w:p>
      <w:r>
        <w:t>contrat de travail; obligation de restitution et responsabilité du travailleur; gestion d'affaires imparfaite | Droit des contrats</w:t>
      </w:r>
    </w:p>
    <w:p>
      <w:pPr>
        <w:pStyle w:val="Heading2"/>
      </w:pPr>
      <w:r>
        <w:t>Erwägungen</w:t>
      </w:r>
    </w:p>
    <w:p>
      <w:r>
        <w:rPr>
          <w:b/>
        </w:rPr>
        <w:t>E. 1.1</w:t>
      </w:r>
    </w:p>
    <w:p>
      <w:r>
        <w:t>Interjeté par la partie qui a succombé dans ses conclusions en paiement ( art. 76 al. 1 LTF ) et dirigé contre un jugement final ( art. 90 LTF ) rendu en matière civile ( art. 72 al. 1 LTF ) par une autorité cantonale de dernière instance ( art. 75 LTF ) dans une affaire pécuniaire de droit du travail dont la valeur litigieuse atteint le seuil de 15'000 fr. ( art. 74 al. 1 let. a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L'auteur du recours ne peut critiquer les faits que si ceux-ci ont été établis de façon manifestement inexacte ou en violation du droit au sens de l' art. 95 LTF ( art. 97 al. 1 LTF ; cf. également art. 105 al. 2 LTF ); de plus, la correction du vice doit être propre à influer le sort de la cause ( art. 97 al. 1 LTF ). La notion de «manifestement inexacte» correspond à celle d'arbitraire au sens de l' art. 9 Cst. (Message concernant la révision totale de l'organisation judiciaire fédérale du 28 février 2001, in FF 2001, p. 4000 ss, spécialement p. 4135).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130 III 138 consid. 1.4 p. 140; cf. également ATF 133 III 350 consid. 1.3).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A titre liminaire, il convient de cerner le litige opposant les parties. La recourante a ouvert action contre les deux intimés en faisant valoir l'identité économique parfaite entre l'un et l'autre; à l'appui de ses conclusions à l'égard des deux défendeurs devant la Cour d'appel, elle invoquait des dispositions sur le contrat de travail ( art. 321b et 321e CO ) ou sur la gestion d'affaires imparfaite ( art. 423 CO ). Ainsi, la recourante n'a, en particulier, pas recherché Z.________ séparément en enrichissement illégitime, en se prévalant du dol qui aurait entaché la conclusion des mandats confiés à cette société et d'une éventuelle invalidation desdits contrats (cf. Engel, Traité des obligations en droit suisse, 2e éd., p. 343). Ceci posé, il y a lieu d'examiner les critiques formulées dans le recours.</w:t>
      </w:r>
    </w:p>
    <w:p>
      <w:r>
        <w:rPr>
          <w:b/>
        </w:rPr>
        <w:t>E. 3.1</w:t>
      </w:r>
    </w:p>
    <w:p>
      <w:r>
        <w:t>Selon l'arrêt attaqué, la juridiction des prud'hommes n'est pas compétente pour statuer sur la demande en tant qu'elle est dirigée contre Z.________, dès lors que cette société n'était pas liée à la recourante par un contrat de travail, mais par des mandats. Pour la recourante, la cour cantonale a violé le principe de la transparence et fait preuve d'arbitraire dans l'application de l'art. 1 al. 1 de la loi genevoise sur la juridiction des prud'hommes (LJP/GE). En effet, Z.________, dont l'intimé est l'actionnaire unique, n'aurait été qu'une «coquille vide», destinée uniquement à permettre à l'employé de dissimuler à son employeur la véritable identité du consultant informatique mandaté en 1999 et 2000. La recourante est ainsi d'avis que l'attitude de l'intimé constitue un abus de droit et qu'en vertu du principe de la transparence, l'employeur est en droit de diriger ses prétentions à la fois contre l'employé et Z.________. Au surplus, l'application purement «mécanique» de l'art. 1 al. 1 LJP/GE empêcherait l'employeur victime d'un employé déloyal d'obtenir réparation, ce qui heurterait de manière choquante le sentiment de la justice et serait dès lors arbitraire.</w:t>
      </w:r>
    </w:p>
    <w:p>
      <w:r>
        <w:rPr>
          <w:b/>
        </w:rPr>
        <w:t>E. 3.2</w:t>
      </w:r>
    </w:p>
    <w:p>
      <w:r>
        <w:t>La Cour d'appel devait examiner si le litige opposant la recourante à Z.________ relevait de la compétence matérielle de la juridiction des prud'hommes. Pour trancher cette question, elle a fait application du droit cantonal, soit de l'art. 1 al. 1 let. a LJP/GE. Cette disposition attribue à la juridiction des prud'hommes la compétence de juger les contestations entre employeurs et salariés pour tout ce qui concerne leurs rapports découlant d'un contrat de travail. Comme la question litigieuse relève de l'organisation judiciaire cantonale ( ATF 122 III 57 consid. 2b in fine), l'auteur du recours peut faire valoir que la mauvaise application du droit cantonal est arbitraire au sens de l' art. 9 Cst. ou contraire à d'autres droits constitutionnels ( ATF 133 III 462 consid. 2.3 p. 466). En matière d'interprétation et d'application du droit cantonal,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se prononcer sur le caractère défendable de l'application ou de l'interprétation du droit cantonal qui a été faite. Il n'y a pas arbitraire du fait qu'une autre solution paraît également concevable, voire même préférable ( ATF 133 III 465 consid. 4.4.1 p. 470; 132 I 13 consid. 5.1 p. 18; 131 I 217 consid. 2.1 p. 219).</w:t>
      </w:r>
    </w:p>
    <w:p>
      <w:r>
        <w:rPr>
          <w:b/>
        </w:rPr>
        <w:t>E. 3.3</w:t>
      </w:r>
    </w:p>
    <w:p>
      <w:r>
        <w:t>En l'espèce, la recourante ne conteste pas avoir confié à Z.________ des mandats dans le domaine informatique. Les parties n'étaient donc pas liées par un contrat de travail; elles ne pouvaient du reste pas l'être, Z.________ étant une personne morale (Tercier, Les contrats spéciaux, 3e éd., n. 3008, p. 433). Or, en l'absence d'un contrat de travail, la cour cantonale pouvait sans arbitraire nier que la compétence de la juridiction des prud'hommes fût donnée au sens de l'art. 1 al. 1 let. a LJP/GE. Au nom du principe de la transparence, la recourante voudrait toutefois que le «voile soit levé» sur Z.________, avec laquelle l'intimé ne ferait qu'un. En droit suisse, la société anonyme à actionnaire unique est tolérée; malgré leur identité économique, la société et l'actionnaire sont traités en principe comme des sujets de droit distincts, avec des patrimoines séparés. Lorsque la bonne foi en affaires l'exige et qu'il s'agit d'éviter de consacrer un abus de droit, la jurisprudence admet toutefois qu'il soit fait abstraction de l'indépendance formelle de la société dans les rapports de celle-ci avec des tiers (principe de la transparence [Durchgriff], déduit de l' art. 2 CC ) ( ATF 128 II 329 consid. 2.4 p. 333 et les arrêts cités). La règle de la transparence n'est pas un principe de niveau constitutionnel. Par conséquent, il ne saurait être reproché à la Cour d'appel des prud'hommes, appliquant le droit cantonal de procédure, d'avoir violé la Constitution fédérale en refusant d'emblée d'entrer en matière sur la demande dirigée contre la société intimée, quand bien même celle-ci était entièrement dominée par le travailleur recherché parallèlement. En tant qu'il se fonde sur l' art. 2 CC , le moyen est irrecevable. La solution adoptée par les juges genevois n'apparaît pas non plus arbitraire, dès lors que la recourante aurait pu agir contre l'intimée devant les instances ordinaires. En conclusion, le grief ne peut être que rejeté dans la mesure où il est recevable.</w:t>
      </w:r>
    </w:p>
    <w:p>
      <w:r>
        <w:rPr>
          <w:b/>
        </w:rPr>
        <w:t>E. 4</w:t>
      </w:r>
    </w:p>
    <w:p>
      <w:r>
        <w:t>Invoquant l' art. 97 al. 1 LTF , la recourante se plaint de constatations manifestement inexactes sur deux points. Premièrement, elle reproche à la cour cantonale d'avoir retenu que l'employeur ne voulait pas engager de personnel supplémentaire dans son service informatique. Ce fait serait en contradiction avec les déclarations des témoins C.________, D.________ et E.________. Deuxièmement, la recourante fait grief à la Cour d'appel d'avoir omis de mentionner une déclaration de l'intimé, selon laquelle il admettait avoir lui-même proposé à son employeur la mise à disposition des informaticiens de Z.________.</w:t>
      </w:r>
    </w:p>
    <w:p>
      <w:r>
        <w:rPr>
          <w:b/>
        </w:rPr>
        <w:t>E. 4.1</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132 III 209 consid. 2.1 p. 211; 131 I 57 consid. 2, 217 consid. 2.1; 129 I 8 consid. 2.1). 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w:t>
      </w:r>
    </w:p>
    <w:p>
      <w:r>
        <w:rPr>
          <w:b/>
        </w:rPr>
        <w:t>E. 4.2</w:t>
      </w:r>
    </w:p>
    <w:p>
      <w:r>
        <w:t>Selon l'état de fait de l'arrêt attaqué, la recourante a souvent recouru à des consultants externes pour la réalisation de projets informatiques, en particulier pour répondre à des besoins ponctuels; la mise en oeuvre de sous-traitants était spécialement à la mode au tournant de l'an 2000. Plus loin, l'autorité cantonale relève qu'aucun élément du dossier ne permet de «supposer que l'intimé ait fait en sorte que [la recourante] renonce à engager des employés permanents, afin de favoriser sa propre société.» Et la Cour d'appel de citer ensuite le témoignage de C.________, responsable du centre informatique de l'intimée, qui a déclaré qu'il ne voulait pas engager du personnel supplémentaire dans les années 1998 à 2000 parce que les besoins accrus en ressources humaines n'allaient pas perdurer. On ne voit pas en quoi les déclarations de trois témoins, dont C.________, selon lesquelles la recourante engageait parfois des consultants comme employés, seraient de nature à faire apparaître comme arbitraires les constatations de l'arrêt attaqué sur le recours fréquent à des sous-traitants dans le service informatique de la recourante ou sur l'absence d'ingérence de l'intimé dans la question du nombre d'informaticiens «maison». Le moyen tiré de l' art. 97 al. 1 LTF est manifestement mal fondé.</w:t>
      </w:r>
    </w:p>
    <w:p>
      <w:r>
        <w:rPr>
          <w:b/>
        </w:rPr>
        <w:t>E. 4.3</w:t>
      </w:r>
    </w:p>
    <w:p>
      <w:r>
        <w:t>Il n'est pas aisé de comprendre où la recourante veut en venir avec sa seconde critique dirigée contre l'état de fait. En effet, il ressort des constatations cantonales que l'intimé pouvait présélectionner la société avec laquelle il préférait travailler et qu'il a, de fait, proposé les services de Z.________, qu'il avait achetée et réactivée dans le cadre des projets qu'il devait mener pour la recourante. Le grief tombe dès lors à faux.</w:t>
      </w:r>
    </w:p>
    <w:p>
      <w:r>
        <w:rPr>
          <w:b/>
        </w:rPr>
        <w:t>E. 5</w:t>
      </w:r>
    </w:p>
    <w:p>
      <w:r>
        <w:t>La recourante critique la cour cantonale pour avoir refusé de lui attribuer, sur la base de l' art. 321b CO , le bénéfice réalisé par Z.________. Elle invoque à cet égard les avis de doctrine et la jurisprudence obligeant le travailleur à remettre à l'employeur les pots-de-vin et les libéralités dépassant les limites usuelles.</w:t>
      </w:r>
    </w:p>
    <w:p>
      <w:r>
        <w:rPr>
          <w:b/>
        </w:rPr>
        <w:t>E. 5.1</w:t>
      </w:r>
    </w:p>
    <w:p>
      <w:r>
        <w:t>L' art. 321b CO régit l'obligation de rendre compte et de restitution. Le travailleur doit établir un décompte des sommes d'argent qu'il encaisse pour l'employeur et remettre immédiatement à ce dernier tout ce qu'il reçoit pour lui dans l'exercice de son activité contractuelle (marchandises, documents, etc.) ( art. 321b al. 1 CO ). En particulier, le travailleur doit restituer à l'employeur les libéralités excédant ce que l'usage autorise, les pots-de-vin ainsi que les ristournes pratiquées par les fournisseurs. Comme la version allemande de l' art. 321b al. 1 CO le précise textuellement, l'obligation à charge du travailleur porte, logiquement, sur l'argent ou les choses reçus de tiers (Streiff/von Kaenel, Arbeitsvertrag, 6e éd., n. 2 et 3 ad art. 321c CO , p. 143/144 et n. 4 ad art. 321a CO , p. 127; Brunner/Bühler/Waeber/Bruchez, Commentaire du contrat de travail, 3e éd., p. 61). En outre, le travailleur doit remettre à l'employeur tout ce qu'il produit dans le cadre de son travail ( art. 321b al. 2 CO ), y compris les plans, les calculs et les esquisses; en effet, le droit au résultat de l'activité professionnelle exercée par le travailleur appartient à l'employeur (Streiff/von Kaenel, op. cit., n. 5 ad art. 321b CO , p. 145; Brunner/Bühler/Waeber/Bruchez, op. cit., p. 61).</w:t>
      </w:r>
    </w:p>
    <w:p>
      <w:r>
        <w:rPr>
          <w:b/>
        </w:rPr>
        <w:t>E. 5.2</w:t>
      </w:r>
    </w:p>
    <w:p>
      <w:r>
        <w:t>La situation envisagée en l'espèce n'entre pas dans les prévisions de l' art. 321b CO . Même en admettant qu'il y ait lieu d'assimiler Z.________ et l'intimé au nom du principe de la transparence rappelé ci-dessus (consid. 3.3), force est de constater que les montants encaissés par la société mandatée ne proviennent pas d'un tiers, mais bien de l'employeur lui-même, qui a payé les services fournis. Le travailleur n'a donc aucune obligation de restitution fondée sur l' art. 321b al. 1 CO . De même, le bénéfice réalisé par Z.________ grâce aux contrats passés avec la recourante ne saurait être qualifié de production de l'activité professionnelle de l'intimé au sens précis et concret où l'entend l' art. 321b al. 2 CO . Dans ces conditions, la cour cantonale n'a pas méconnu l' art. 321b CO en refusant de faire application de cette disposition dans le cas particulier.</w:t>
      </w:r>
    </w:p>
    <w:p>
      <w:r>
        <w:rPr>
          <w:b/>
        </w:rPr>
        <w:t>E. 6.1</w:t>
      </w:r>
    </w:p>
    <w:p>
      <w:r>
        <w:t>A lire le recours, la Cour d'appel a violé l' art. 321e CO en niant l'existence du dommage subi par l'employeur à la suite de la déloyauté du travailleur. La recourante s'en prend aux arguments avancés dans l'arrêt attaqué. Ainsi, l'absence de surfacturation des prestations de Z.________, le fait que les travaux confiés à cette société aient été nécessaires et effectivement réalisés, la qualité des prestations fournies, la mauvaise gestion des ressources humaines par la recourante et le respect des prix du marché seraient des éléments dénués de pertinence pour déterminer si la recourante a subi ou non un préjudice. En revanche, l'autorité cantonale aurait dû tenir compte du fait que Z.________ n'apportait aucune valeur ajoutée, se bornant à jouer le rôle d'un placeur de personnel fraîchement qualifié et sans expérience professionnelle significative; en ce sens, la marge bénéficiaire réalisée par la «société-écran» de l'intimé ne correspondrait à rien. Par ailleurs, si l'intimé avait respecté son obligation de fidélité, la recourante n'aurait pas attribué des mandats à Z.________ et aurait choisi une solution conforme à ses propres intérêts économiques, n'impliquant pas le versement d'une importante marge bénéficiaire «intercalée» par la société de l'employé; elle aurait ainsi pu confier des mandats directement aux informaticiens de Z.________, conclure des contrats de travail à durée déterminée avec les informaticiens en question, voire engager ceux-ci durablement. La recourante ajoute qu'il appartenait à l'intimé de faire observer à la direction le surcoût manifeste lié au recours aux consultants externes. Dans la foulée, la recourante invoque l' art. 9 Cst. La cour cantonale aurait apprécié les preuves de manière arbitraire en considérant que le bénéfice putatif réalisé par Z.________ ne correspondait pas au dommage subi par l'employeur.</w:t>
      </w:r>
    </w:p>
    <w:p>
      <w:r>
        <w:rPr>
          <w:b/>
        </w:rPr>
        <w:t>E. 6.2</w:t>
      </w:r>
    </w:p>
    <w:p>
      <w:r>
        <w:t>Selon l' art. 321e al. 1 CO ,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adéquate entre ladite violation et le dommage ainsi qu'une faute intentionnelle ou par négligence. En l'occurrence, la cour cantonale a reconnu que l'intimé avait violé son devoir de fidélité contractuel en cachant à la recourante ses liens avec Z.________. Elle a estimé toutefois que l'employeur n'avait pas apporté la preuve d'un dommage, de sorte que la responsabilité du travailleur n'était pas engagée. Selon la jurisprudence, le dommage réside dans la diminution involontaire de la fortune nette; il correspond à la différence entre le montant actuel du patrimoine du lésé et le montant que ce même patrimoine aurait si l'événement dommageable ne s'était pas produit (cf., en matière de responsabilité du travailleur, ATF 123 III 257 consid. 5d p. 260/261). Il peut se présenter sous la forme d'une diminution de l'actif, d'une augmentation du passif, d'une non-augmentation de l'actif ou d'une non-diminution du passif ( ATF 133 III 462 consid. 4.4.2 p. 471 et les arrêts cités). Dire s'il y a eu dommage et quelle en est la quotité est une question de fait, que le Tribunal fédéral peut revoir sous l'angle de l'arbitraire. C'est en revanche une question de droit que d'examiner si la notion juridique du dommage a été méconnue par l'autorité précédente (cf. ATF 132 III 359 consid. 4 p. 366; 130 III 145 consid. 6.2 p. 167; 129 III 18 consid. 2.4 p. 23).</w:t>
      </w:r>
    </w:p>
    <w:p>
      <w:r>
        <w:rPr>
          <w:b/>
        </w:rPr>
        <w:t>E. 6.3</w:t>
      </w:r>
    </w:p>
    <w:p>
      <w:r>
        <w:t>L'autorité cantonale a cherché à déterminer si le patrimoine de la recourante aurait été plus élevé sans l'événement préjudiciable, soit la violation de l'obligation de fidélité par le travailleur. Ce faisant, elle est partie d'une notion juste du dommage, de sorte qu'aucune violation du droit fédéral ne peut lui être imputée. Il reste à examiner si la Cour d'appel a versé dans l'arbitraire en niant l'existence d'un préjudice. Le dommage allégué par la recourante consiste dans le montant qu'elle considère avoir payé en trop à Z.________, mandatée parce qu'elle ignorait les liens de cette entreprise avec l'intimé; ce surplus correspond, selon elle, à la marge bénéficiaire réalisée par la société informatique et, donc, par le travailleur. Au préalable, on peut s'interroger sur le caractère involontaire du préjudice allégué par l'employeur. Il n'est en effet guère contestable que la recourante a payé volontairement les factures présentées par Z.________, après différents contrôles autres que celui de l'intimé. Cela étant, le recours au sous-traitant Z.________ n'était pas en soi de nature à entraîner une diminution du patrimoine de la recourante. Selon les constatations cantonales, ce mode de procéder était fréquent dans le département dont l'intimé dépendait, en particulier à l'époque en cause. Or, il n'est pas contesté que l'intimé ne disposait pas à l'interne du personnel nécessaire pour mener à bien les projets informatiques confiés et qu'il ne pouvait lui-même procéder à des engagements, ni attribuer des mandats à des consultants individuels. L'employé pouvait en revanche proposer le recours à une entreprise donnée, mais n'avait pas la compétence de conclure le contrat avec ladite société. Au surplus, il n'avait aucune obligation d'attirer l'attention de l'employeur sur le coût de cette pratique. D'après l'état de fait cantonal, la recourante a admis elle-même une mauvaise gestion des ressources humaines. Or, le chef de projet informatique n'était pas chargé de la gestion du personnel et n'a du reste pas cherché à empêcher une solution à l'interne. Par ailleurs, le prix payé par la recourante à Z.________ représentait la contre-partie des prestations effectuées par les informaticiens employés par cette société dans le cadre des projets confiés à l'intimé. Selon les constatations cantonales, les montants facturés étaient corrects par rapport au marché et l'enveloppe budgétaire attribuée à chaque projet était respectée. A cet égard, les considérations de la recourante à propos de la marge bénéficiaire de Z.________ ne sont pas déterminantes car, en acceptant de recourir à une entreprise externe, la recourante payait nécessairement un prix comportant une part de bénéfice. Que celui-ci ait été trop important à ses yeux est indifférent dans la mesure où les prix facturés correspondent à ceux pratiqués en moyenne par les autres sociétés de conseil en informatique. En outre, les mandats ont été exécutés à satisfaction de la recourante, qui a du reste félicité à plusieurs reprises le chef de projet et octroyé à ce dernier un bonus de 85 % pour l'année 2000. Contrairement à ce que la recourante soutient, les éléments mis en avant par la cour cantonale sont pertinents pour juger de l'existence ou non d'un dommage. Il en ressort que les liens privilégiés du travailleur avec Z.________ ne changent rien au fait que l'intimé avait besoin d'informaticiens pour mener à bien les projets confiés par son employeur et que la recourante n'aurait pas nécessairement payé moins cher si, fidèle à sa pratique, elle avait recouru aux services d'une autre société externe. Le gain réalisé par Z.________ ne représente pas une perte pour la recourante. A vrai dire, seule une entreprise concurrente de Z.________ peut avoir manqué un gain en raison de l'attribution des mandats à la société de l'intimé. En conclusion, les juges genevois pouvaient sans arbitraire retenir qu'un dommage n'était pas prouvé, la recourante n'ayant pas démontré que son patrimoine aurait été supérieur si elle n'avait pas été entraînée à recourir aux services de Z.________ dans l'ignorance des liens de l'intimé avec cette société.</w:t>
      </w:r>
    </w:p>
    <w:p>
      <w:r>
        <w:rPr>
          <w:b/>
        </w:rPr>
        <w:t>E. 7</w:t>
      </w:r>
    </w:p>
    <w:p>
      <w:r>
        <w:t>En dernier lieu, la recourante se plaint d'une violation de l' art. 423 CO , régissant la gestion d'affaires entreprise dans l'intérêt du gérant. A son sens, l'intimé a géré les affaires de son employeur à deux titres: d'une part, en faisant intervenir Z.________ dans l'exécution des projets informatiques de la recourante; d'autre part, en engageant des personnes physiques chargées de travailler sur des lesdits projets alors que cette compétence ne lui appartenait pas en tant qu'employé. Comme la mauvaise foi du gérant serait incontestable, la recourante est d'avis que la cour cantonale aurait dû ordonner la restitution à l'employeur des profits illégitimes réalisés par le travailleur au travers de sa société.</w:t>
      </w:r>
    </w:p>
    <w:p>
      <w:r>
        <w:rPr>
          <w:b/>
        </w:rPr>
        <w:t>E. 7.1</w:t>
      </w:r>
    </w:p>
    <w:p>
      <w:r>
        <w:t>Contrairement à la gestion d'affaires parfaite (ou altruiste), qui est effectuée dans l'intérêt du maître ( art. 422 CO ), la gestion d'affaires imparfaite (ou intéressée) est entreprise dans l'intérêt du gérant; le maître a le droit de s'approprier les profits qui en résultent ( art. 423 al. 1 CO ). L'élément qui caractérise la gestion imparfaite est la volonté du gérant de s'immiscer dans la sphère d'autrui sans avoir de motif pour le faire, par un acte d'usurpation. Ce genre d'usurpation est reconnu, notamment, en cas d'atteinte aux droits patrimoniaux d'autrui, lorsque l'auteur retire un profit de la violation d'une obligation ou d'une interdiction ( ATF 126 III 69 consid. 2a p. 72); ainsi, une sous-location non autorisée par le contrat de bail constitue une gestion imparfaite par le locataire des affaires du bailleur ( ATF 126 III 69 consid. 2b p. 73). En cas de violation pure d'un contrat (reine Vertragsverletzung), encore faut-il que l'auteur réalise un gain dans un domaine qui est attribué exclusivement à son cocontractant par l'ordre contractuel (Schmid, Zürcher Kommentar, n. 77 ad art. 423 CO ). Il convient de préciser enfin que l' art. 423 CO ne s'applique que si le gérant est de mauvaise foi ( ATF 129 III 422 consid. 4 p. 425; 126 III 69 consid. 2a p. 72, 382 consid. 4b/aa p. 384).</w:t>
      </w:r>
    </w:p>
    <w:p>
      <w:r>
        <w:rPr>
          <w:b/>
        </w:rPr>
        <w:t>E. 7.2</w:t>
      </w:r>
    </w:p>
    <w:p>
      <w:r>
        <w:t>En l'espèce, on cherche en vain l'acte de gestion de l'intimé qui aurait porté atteinte à des droits protégés de la recourante. En proposant de recourir aux services d'une société informatique tierce, l'intimé a agi dans le cadre de son contrat de travail, puisqu'il était chargé de mener à bien des projets avec l'aide d'autres informaticiens et qu'il pouvait présélectionner l'entreprise avec laquelle il souhaitait travailler. Quant à l'engagement d'informaticiens par Z.________, il s'agit d'un acte qui est hors de la sphère juridique de la recourante. On ne voit pas comment, en choisissant lesdits informaticiens qui n'étaient liés qu'à sa société, l'intimé aurait empiété sur le patrimoine de la recourante; le prétendu gérant n'a nullement fait usage de droits qui n'appartiennent qu'au prétendu maître. Faute d'immixtion ou d'acte d'usurpation de la part de l'intimé, une gestion d'affaires imparfaite n'entre pas en ligne de compte en l'occurrence, comme la cour cantonale l'a bien vu. En conséquence, le grief tiré de la violation de l' art. 423 al. 1 CO est mal fondé.</w:t>
      </w:r>
    </w:p>
    <w:p>
      <w:r>
        <w:rPr>
          <w:b/>
        </w:rPr>
        <w:t>E. 8</w:t>
      </w:r>
    </w:p>
    <w:p>
      <w:r>
        <w:t>Sur le vu de ce qui précède, le recours sera rejeté dans la mesure où il est recevable. La recourante prendra à sa charge les frais judiciaires ( art. 66 al. 1 LTF ). Comme la valeur litigieuse, calculée selon les prétentions à l'ouverture de l'action ( ATF 115 II 30 consid. 5b p. 41; cf. Message du 28 février 2001 précité, in FF 2001, p. 4103) dépasse le seuil de 30'000 fr., le montant de l'émolument judiciaire sera fixé selon le tarif ordinaire ( art. 65 al. 3 let. b LTF ), et non réduit ( art. 65 al. 4 let . c LTF). En outre, la recourante versera des dépens aux intimés, créanciers solidaires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