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30/2025 vom 27. Februar 2025</w:t>
      </w:r>
    </w:p>
    <w:p>
      <w:r>
        <w:t>Bundesgericht, 2025-02-27, DE</w:t>
      </w:r>
    </w:p>
    <w:p>
      <w:r>
        <w:rPr>
          <w:b/>
        </w:rPr>
        <w:t xml:space="preserve">Quelle: </w:t>
      </w:r>
      <w:r>
        <w:t>https://mcp.opencaselaw.ch/entscheid/bger_4A_30_2025</w:t>
      </w:r>
    </w:p>
    <w:p>
      <w:r>
        <w:t>FR: TF 4A 30/2025 du 27 février 2025</w:t>
      </w:r>
    </w:p>
    <w:p>
      <w:r>
        <w:t>IT: TF 4A 30/2025 del 27 febbraio 2025</w:t>
      </w:r>
    </w:p>
    <w:p>
      <w:pPr>
        <w:pStyle w:val="Heading2"/>
      </w:pPr>
      <w:r>
        <w:t>Regeste</w:t>
      </w:r>
    </w:p>
    <w:p>
      <w:r>
        <w:t>Krankentaggeldversicherung, | Vertragsrecht</w:t>
      </w:r>
    </w:p>
    <w:p>
      <w:pPr>
        <w:pStyle w:val="Heading2"/>
      </w:pPr>
      <w:r>
        <w:t>Erwägungen</w:t>
      </w:r>
    </w:p>
    <w:p>
      <w:r>
        <w:rPr>
          <w:b/>
        </w:rPr>
        <w:t>E. 1</w:t>
      </w:r>
    </w:p>
    <w:p>
      <w:r>
        <w:t>Mit Urteil vom 17. Dezember 2024 wies das Sozialversicherungsgericht des Kantons Zürich eine vom Beschwerdeführer gegen die Beschwerdegegnerin erhobene Klage auf Ausrichtung von Taggeldern ab. Mit Eingabe vom 21. Januar 2025 erklärte der Beschwerdeführer dem Bundesgericht, das Urteil des Sozialversicherungsgerichts des Kantons Zürich vom 17. Dezember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21. Januar 2025 nicht hinreichend mit den Erwägungen des angefochtenen Urteils des Sozialversicherungsgerichts des Kantons Zürich vom 17. Dezember 2024 auseinander und zeigt nicht rechtsgenügend auf, inwiefern die Vorinstanz mit ihrem Entscheid Bundesrecht verletzt hätte, sondern unterbreitet dem Bundesgericht in unzulässiger Weise seine eigene Sicht der Dinge. Damit verfehlt er die gesetzlichen Begründungsanforderungen. Auf die Beschwerde ist somit im vereinfachten Verfahren nach Art. 108 Abs. 1 lit. b BGG nicht einzutreten.</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