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4A_30/2010 vom 11. Februar 2011</w:t>
      </w:r>
    </w:p>
    <w:p>
      <w:r>
        <w:t>Bundesgericht, 2011-02-11, DE</w:t>
      </w:r>
    </w:p>
    <w:p>
      <w:r>
        <w:rPr>
          <w:b/>
        </w:rPr>
        <w:t xml:space="preserve">Quelle: </w:t>
      </w:r>
      <w:r>
        <w:t>https://mcp.opencaselaw.ch/entscheid/bger_4A_30_2010</w:t>
      </w:r>
    </w:p>
    <w:p>
      <w:r>
        <w:t>FR: TF 4A_30/2010 du 11 février 2011</w:t>
      </w:r>
    </w:p>
    <w:p>
      <w:r>
        <w:t>IT: TF 4A_30/2010 del 11 febbraio 2011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4A_30/2010</w:t>
      </w:r>
    </w:p>
    <w:p>
      <w:r>
        <w:t>Verfügung vom 11. Februar 2011</w:t>
      </w:r>
    </w:p>
    <w:p>
      <w:r>
        <w:t>I. zivilrechtliche Abteilung</w:t>
      </w:r>
    </w:p>
    <w:p>
      <w:r>
        <w:t>Besetzung</w:t>
      </w:r>
    </w:p>
    <w:p>
      <w:r>
        <w:t>Bundesrichterin Klett, Präsidentin,</w:t>
      </w:r>
    </w:p>
    <w:p>
      <w:r>
        <w:t>Gerichtsschreiber Huguenin.</w:t>
      </w:r>
    </w:p>
    <w:p>
      <w:r>
        <w:t>Verfahrensbeteiligte</w:t>
      </w:r>
    </w:p>
    <w:p>
      <w:r>
        <w:t>X.________ Inc.,</w:t>
      </w:r>
    </w:p>
    <w:p>
      <w:r>
        <w:t>vertreten durch Rechtsanwälte</w:t>
      </w:r>
    </w:p>
    <w:p>
      <w:r>
        <w:t>Dr. Michael Treis und Dr. Michael Widmer,</w:t>
      </w:r>
    </w:p>
    <w:p>
      <w:r>
        <w:t>Beschwerdeführerin,</w:t>
      </w:r>
    </w:p>
    <w:p>
      <w:r>
        <w:t>gegen</w:t>
      </w:r>
    </w:p>
    <w:p>
      <w:r>
        <w:t>Eidgenössisches Institut für Geistiges Eigentum (IGE),</w:t>
      </w:r>
    </w:p>
    <w:p>
      <w:r>
        <w:t>Beschwerdegegner.</w:t>
      </w:r>
    </w:p>
    <w:p>
      <w:r>
        <w:t>Gegenstand</w:t>
      </w:r>
    </w:p>
    <w:p>
      <w:r>
        <w:t>Markeneintragungsgesuch,</w:t>
      </w:r>
    </w:p>
    <w:p>
      <w:r>
        <w:t>Beschwerde gegen das Urteil des Bundesverwaltungsgerichts, Abteilung II, vom 24. November 2009.</w:t>
      </w:r>
    </w:p>
    <w:p>
      <w:r>
        <w:t>In Erwägung,</w:t>
      </w:r>
    </w:p>
    <w:p>
      <w:r>
        <w:t>dass die Beschwerdeführerin die Beschwerde gegen das Urteil des Bundesverwaltungsgerichts vom 24. November 2009 mit Schreiben vom 1. Februar 2011 zurückgezogen hat;</w:t>
      </w:r>
    </w:p>
    <w:p>
      <w:r>
        <w:t>dass die Gerichtskosten der Beschwerdeführerin aufzuerlegen sind ( Art. 66 Abs. 3 BGG );</w:t>
      </w:r>
    </w:p>
    <w:p>
      <w:r>
        <w:t>verfügt die Präsidentin im Verfahren nach Art. 32 Abs. 2 BGG 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500.-- werden der Beschwerdeführerin auferlegt.</w:t>
      </w:r>
    </w:p>
    <w:p>
      <w:r>
        <w:t>3.</w:t>
      </w:r>
    </w:p>
    <w:p>
      <w:r>
        <w:t>Diese Verfügung wird den Parteien und dem Bundesverwaltungsgericht, Abteilung II, schriftlich mitgeteilt.</w:t>
      </w:r>
    </w:p>
    <w:p>
      <w:r>
        <w:t>Lausanne, 11. Februar 2011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Der Gerichtsschreiber:</w:t>
      </w:r>
    </w:p>
    <w:p>
      <w:r>
        <w:t>Klett Huguenin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