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4A_309/2022 vom 4. September 2023</w:t>
      </w:r>
    </w:p>
    <w:p>
      <w:r>
        <w:t>Bundesgericht, 2023-09-04, FR</w:t>
      </w:r>
    </w:p>
    <w:p>
      <w:r>
        <w:rPr>
          <w:b/>
        </w:rPr>
        <w:t xml:space="preserve">Quelle: </w:t>
      </w:r>
      <w:r>
        <w:t>https://mcp.opencaselaw.ch/entscheid/bger_4A_309_2022</w:t>
      </w:r>
    </w:p>
    <w:p>
      <w:r>
        <w:t>FR: TF 4A_309/2022 du 4 septembre 2023</w:t>
      </w:r>
    </w:p>
    <w:p>
      <w:r>
        <w:t>IT: TF 4A_309/2022 del 4 settembre 2023</w:t>
      </w:r>
    </w:p>
    <w:p>
      <w:pPr>
        <w:pStyle w:val="Heading2"/>
      </w:pPr>
      <w:r>
        <w:t>Erwägungen</w:t>
      </w:r>
    </w:p>
    <w:p>
      <w:r>
        <w:rPr>
          <w:b/>
        </w:rPr>
        <w:t>E. 1</w:t>
      </w:r>
    </w:p>
    <w:p>
      <w:r>
        <w:t>Les conditions de recevabilité du recours en matière civile sont réalisées sur le principe, notamment en ce qui a trait à la valeur litigieuse minimale de 15'000 fr. dans ce conflit de droit du travail ( art. 74 al. 1 let. a LTF ), et quant au respect du délai de recours ( art. 100 al. 1 LTF ).</w:t>
      </w:r>
    </w:p>
    <w:p>
      <w:r>
        <w:rPr>
          <w:b/>
        </w:rPr>
        <w:t>E. 2.1</w:t>
      </w:r>
    </w:p>
    <w:p>
      <w:r>
        <w:t>L'unique question encore litigieuse concerne l'indemnité de 50'000 fr. pour congé abusif fondée sur l' art. 336a CO .</w:t>
      </w:r>
    </w:p>
    <w:p>
      <w:r>
        <w:t>Si les conclusions peuvent éventuellement instiller un doute, il suffit de lire le recours pour le dissiper (sur l'interprétation des conclusions à la lumière de la motivation qui les sous-tend, cf. par ex. ATF 137 II 313 consid. 1.3</w:t>
      </w:r>
    </w:p>
    <w:p>
      <w:r>
        <w:t>in fine ).</w:t>
      </w:r>
    </w:p>
    <w:p>
      <w:r>
        <w:rPr>
          <w:b/>
        </w:rPr>
        <w:t>E. 2.2</w:t>
      </w:r>
    </w:p>
    <w:p>
      <w:r>
        <w:t>La Cour de justice a retenu que l'intimé s'était valablement opposé au congé, au sens de l' art. 336b CO , respectivement qu'il avait agi dans les délais péremptoires fixés par cette disposition.</w:t>
      </w:r>
    </w:p>
    <w:p>
      <w:r>
        <w:t>Aucun grief n'est soulevé quant à cette analyse, qui lie la cour de céans.</w:t>
      </w:r>
    </w:p>
    <w:p>
      <w:r>
        <w:t>Il reste à contrôler les moyens influant sur le sort de la cause quant à l'établissement des faits et au caractère abusif du congé.</w:t>
      </w:r>
    </w:p>
    <w:p>
      <w:r>
        <w:rPr>
          <w:b/>
        </w:rPr>
        <w:t>E. 3.1</w:t>
      </w:r>
    </w:p>
    <w:p>
      <w:r>
        <w:t>Au niveau des faits, la banque souligne que l'enquête interne visait C.________ SA et non l'employé personnellement. Selon le dossier et le témoignage de F.________, le rapport disciplinaire ciblant l'employé ne ferait que refléter ses manquements révélés par l'enquête interne et confirmés par l'enquête externe impulsée par la FINMA, à savoir un contrôle insuffisant de la relation avec cette entité et une mesure insuffisante des risques encourus.</w:t>
      </w:r>
    </w:p>
    <w:p>
      <w:r>
        <w:rPr>
          <w:b/>
        </w:rPr>
        <w:t>E. 3.2</w:t>
      </w:r>
    </w:p>
    <w:p>
      <w:r>
        <w:t>La Cour de justice a bien appréhendé la situation, mais a reproché essentiellement à la banque d'occulter sa propre responsabilité, respectivement de méconnaître le fait que l'employé ne pouvait répondre que jusqu'en décembre 2012 puisqu'il avait ensuite changé de fonctions. La majorité des transactions litigieuses s'étaient déroulées après cette période.</w:t>
      </w:r>
    </w:p>
    <w:p>
      <w:r>
        <w:t>On ne discerne nul arbitraire dans l'état de fait, ni aucune contradiction, ni même aucune lacune (la recourante ne citant aucun allégué prétendument omis). On rappelle qu'il y a eu enquête pénale, l'instruction ne parvenant pas à mettre en avant une intention délictueuse au sein de la banque ou de ses collaborateurs incriminés. Il ne saurait être question, dans ce contexte, d'un employé « escroc ». D'ailleurs, la banque admet ou a déjà admis certains faits, notamment que la composition du comité disciplinaire n'était pas « entièrement claire », ou que l'« affaire » C.________ SA n'a conduit qu'au licenciement de l'employé et de son subordonné direct G.________.</w:t>
      </w:r>
    </w:p>
    <w:p>
      <w:r>
        <w:t>Elle se lance simplement dans une critique stérile de l'état de fait dont on comprend qu'il lui déplaît, mais qui n'est pas vicié pour autant.</w:t>
      </w:r>
    </w:p>
    <w:p>
      <w:r>
        <w:rPr>
          <w:b/>
        </w:rPr>
        <w:t>E. 3.3</w:t>
      </w:r>
    </w:p>
    <w:p>
      <w:r>
        <w:t>Elle insiste aussi sur le fait que l'employé a été entendu avant son licenciement. Certes. Mais toujours est-il que les arguments évoqués ci-dessus (consid. 3.2</w:t>
      </w:r>
    </w:p>
    <w:p>
      <w:r>
        <w:t>supra ) ont été omis, ce que la Cour de justice était en droit de préciser, en fait. Et il a été constaté que l'employé, bien qu'entendu au cours de l'enquête interne ne le visant pas personnellement, n'avait pas été mis en mesure de se déterminer contre les manquements invoqués à l'appui de son licenciement, la banque n'ayant plutôt eu de cesse que d'expliquer pour quelles raisons le rapport disciplinaire ne figurait pas au dossier de l'employé.</w:t>
      </w:r>
    </w:p>
    <w:p>
      <w:r>
        <w:t>Encore une fois, l'autorité de céans ne discerne nulle erreur, ni nul défaut, ni la moindre trace d'arbitraire dans l'état de fait, respectivement aucune violation du droit au sens de l' art. 95 LTF .</w:t>
      </w:r>
    </w:p>
    <w:p>
      <w:r>
        <w:rPr>
          <w:b/>
        </w:rPr>
        <w:t>E. 4.1</w:t>
      </w:r>
    </w:p>
    <w:p>
      <w:r>
        <w:t>En droit, la recourante conteste le caractère abusif du congé. Elle soutient en particulier qu'il n'atteignait pas la gravité visée à l' art. 336 CO .</w:t>
      </w:r>
    </w:p>
    <w:p>
      <w:r>
        <w:rPr>
          <w:b/>
        </w:rPr>
        <w:t>E. 4.2</w:t>
      </w:r>
    </w:p>
    <w:p>
      <w:r>
        <w:t>L'arrêt attaqué expose les principes gouvernant la matière. Il peut y être renvoyé (cf. art. 109 al. 3 LTF ).</w:t>
      </w:r>
    </w:p>
    <w:p>
      <w:r>
        <w:rPr>
          <w:b/>
        </w:rPr>
        <w:t>E. 4.3</w:t>
      </w:r>
    </w:p>
    <w:p>
      <w:r>
        <w:t>Sur la base de l'état de fait qui lie l'autorité de céans, aucune transgression du droit fédéral, singulièrement de l' art. 336 CO , n'est à déplorer. La recourante met en exergue la perte de confiance. Il est exact, aussi, que l'ancienneté et le bon comportement d'un employé ne sauraient effacer des fautes de sa part, ni prohiber un licenciement. Mais il n'est pas question ici de contester le droit de licencier l'employé. La décision cantonale montre d'ailleurs clairement que le congé a été mûrement pensé et résulte d'investigations sérieuses. Il s'agit simplement de se résoudre à admettre le caractère abusif du congé (au sens de l' art. 336 CO ), dans le tableau précisément décrit par la cour cantonale, simplement résumé ici, mais pris en compte par l'autorité de céans, au terme d'une lecture attentive du recours et de la décision entreprise.</w:t>
      </w:r>
    </w:p>
    <w:p>
      <w:r>
        <w:t>Tout au plus déconseillera-t-on l'usage du conditionnel et d'un langage propre à faire apparaître des impressions plutôt que des convictions. Mais rien, encore une fois, ne saurait fonder une violation du droit fédéral, et les critiques de la banque recourante (ou les précédents qu'elle cite pour tenter de se démarquer) ne parviennent nullement à ébranler une telle conviction. Il est acquis que la composition du comité disciplinaire n'était pas entièrement claire, pour reprendre les mots de la recourante, et que la hiérarchie directe de l'employé n'avait aucun reproche direct à émettre quant à la qualité ou à la quantité de son travail: de tels éléments n'excluent pas pour autant un congé abusif.</w:t>
      </w:r>
    </w:p>
    <w:p>
      <w:r>
        <w:rPr>
          <w:b/>
        </w:rPr>
        <w:t>E. 4.4</w:t>
      </w:r>
    </w:p>
    <w:p>
      <w:r>
        <w:t>La cour de céans ne discerne aucune critique quant à l'indemnité de 50'000 fr. fondée sur l' art. 336a CO . Aussi est-elle dispensée d'entamer des discussions à cet égard.</w:t>
      </w:r>
    </w:p>
    <w:p>
      <w:r>
        <w:rPr>
          <w:b/>
        </w:rPr>
        <w:t>E. 5</w:t>
      </w:r>
    </w:p>
    <w:p>
      <w:r>
        <w:t>En définitive, le recours doit être rejeté dans la mesure où il est recevable, aux frais de son auteur ( art. 66 al. 1 LTF ), qui versera une indemnité à son adverse partie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