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4A_307/2011 vom 16. Dezember 2011</w:t>
      </w:r>
    </w:p>
    <w:p>
      <w:r>
        <w:t>Bundesgericht, 2011-12-16, DE</w:t>
      </w:r>
    </w:p>
    <w:p>
      <w:r>
        <w:rPr>
          <w:b/>
        </w:rPr>
        <w:t xml:space="preserve">Quelle: </w:t>
      </w:r>
      <w:r>
        <w:t>https://mcp.opencaselaw.ch/entscheid/bger_4A_307_2011</w:t>
      </w:r>
    </w:p>
    <w:p>
      <w:r>
        <w:t>FR: TF 4A_307/2011 du 16 décembre 2011</w:t>
      </w:r>
    </w:p>
    <w:p>
      <w:r>
        <w:t>IT: TF 4A_307/2011 del 16 dicembre 2011</w:t>
      </w:r>
    </w:p>
    <w:p>
      <w:pPr>
        <w:pStyle w:val="Heading2"/>
      </w:pPr>
      <w:r>
        <w:t>Erwägungen</w:t>
      </w:r>
    </w:p>
    <w:p>
      <w:r>
        <w:rPr>
          <w:b/>
        </w:rPr>
        <w:t>E. 1</w:t>
      </w:r>
    </w:p>
    <w:p>
      <w:r>
        <w:t>Das Bundesgericht prüft von Amtes wegen und mit freier Kognition, ob auf eine Beschwerde eingetreten werden kann ( BGE 137 III 417 E. 1 S. 417 mit Hinweisen).</w:t>
      </w:r>
    </w:p>
    <w:p>
      <w:r>
        <w:rPr>
          <w:b/>
        </w:rPr>
        <w:t>E. 1.1</w:t>
      </w:r>
    </w:p>
    <w:p>
      <w:r>
        <w:t>Der angefochtene Rückweisungsbeschluss hebt das erstinstanzliche Urteil, soweit es noch nicht in Rechtskraft erwachsen ist, auf und weist die Sache zur Ergänzung des Verfahrens und zu neuem Entscheid im Sinne der Erwägungen an das Bezirksgericht zurück. Bei einem solchen Rückweisungsentscheid handelt es sich um einen Zwischenentscheid ( BGE 137 V 314 E. 1 S. 315; 135 V 141 E. 1.1; 135 III 212 E. 1.2 S. 216, 329 E. 1.2 S. 331).</w:t>
      </w:r>
    </w:p>
    <w:p>
      <w:r>
        <w:rPr>
          <w:b/>
        </w:rPr>
        <w:t>E. 1.2</w:t>
      </w:r>
    </w:p>
    <w:p>
      <w:r>
        <w:t>Gegen selbständig eröffnete Vor- und Zwischenentscheide, die weder die Zuständigkeit noch den Ausstand betreffen, ist die Beschwerde nur zulässig, wenn eine der folgenden alternativen Voraussetzungen erfüllt ist: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 Dementsprechend obliegt es dem Beschwerdeführer darzutun, dass die Voraussetzungen von Art. 93 BGG erfüllt sind, soweit deren Vorliegen nicht offensichtlich in die Augen springt ( BGE 137 III 324 E. 1.1 S. 329; 134 III 426 E. 1.2 in fine; 133 III 629 E. 2.3.1 und 2.4.2).</w:t>
      </w:r>
    </w:p>
    <w:p>
      <w:r>
        <w:rPr>
          <w:b/>
        </w:rPr>
        <w:t>E. 1.3</w:t>
      </w:r>
    </w:p>
    <w:p>
      <w:r>
        <w:t>Die Variante nach Art. 93 Abs. 1 lit. a BGG ist vorliegend nicht gegeben und wird in der Beschwerde auch nicht geltend gemacht. Die Beschwerdeführerin beruft sich auf die Variante nach Art. 93 Abs. 1 lit. b BGG .</w:t>
      </w:r>
    </w:p>
    <w:p>
      <w:r>
        <w:rPr>
          <w:b/>
        </w:rPr>
        <w:t>E. 1.4</w:t>
      </w:r>
    </w:p>
    <w:p>
      <w:r>
        <w:t>Die erste Voraussetzung von Art. 93 Abs. 1 lit. b BGG ist erfüllt, wenn das Bundesgericht, sollte es die Rechtsauffassung des Beschwerdeführers teilen, einen verfahrensabschliessenden Endentscheid fällen könnte ( BGE 133 III 629 E. 2.4.1 mit Hinweis). Dies trifft dann nicht zu, wenn das Bundesgericht nicht selbst reformatorisch entscheiden könnte (vgl. Art. 107 Abs. 2 BGG ), sondern seinerseits an die Vorinstanz zurückweisen müsste, weil beispielsweise die erforderlichen Tatsachenfeststellungen fehlen (Urteil 4A_210/2010 vom 1. Oktober 2010 E. 3.2).</w:t>
      </w:r>
    </w:p>
    <w:p>
      <w:r>
        <w:t>Die Beschwerdeführerin beantragt mit ihrem Hauptklagebegehren Ziffer 1 die Bezahlung von EUR 25'564'594 Zug um Zug gegen die Herausgabe bzw. Freigabe der von der Beschwerdeführerin gekauften Aktien der F.________ AG. Sie stützt dieses Begehren auf ein angebliches Rücktrittsrecht vom Aktienkaufvertrag und verlangt die Rückabwicklung des Vertrags, mithin die Rückzahlung der geleisteten Anzahlung gegen Herausgabe bzw. Freigabe der gekauften Aktien. Die Vorinstanz verneinte ein Rücktrittsrecht. Trotzdem lehnte sie das Leistungsbegehren nicht einfach ab (wie das Bezirksgericht). Vielmehr hielt sie dafür, es müsse geprüft werden, ob das Leistungsbegehren wenigstens teilweise gutgeheissen werden könne, weil der gemäss Vertrag zu ermittelnde Kaufpreis tiefer ist als die geleistete Anzahlung, und die Beschwerdeführerin demnach Anspruch auf Erstattung der Differenz hat. Zur Ermittlung des Kaufpreises müsse der Ertragswert der F.________ mittels Gutachten eruiert werden. Zu diesem Zweck wies sie die Sache an das Bezirksgericht zurück.</w:t>
      </w:r>
    </w:p>
    <w:p>
      <w:r>
        <w:t>Die Beschwerdeführerin stellt sich auf den Standpunkt, die Vorinstanz verletze die Dispositionsmaxime, indem sie die Sache in diesem Sinne an das Bezirksgericht zurückweise. Sie habe eine Rückabwicklung des Kaufvertrags verlangt und nicht die eventuelle Differenz zwischen Anzahlung und zu ermittelndem Kaufpreis. Sollte das Bundesgericht diese Auffassung teilen, so könnte es über das Hauptklagebegehren Ziffer 1 endgültig materiell entscheiden. Der Beschwerdegegner macht zwar geltend, der Sachverhalt sei betreffend die allfällige Verletzung einer vertraglichen Neben-Schutzpflicht, aus der die Beschwerdeführerin das Rücktrittsrecht ableitet, nicht vollständig abgeklärt. Das Verfahren müsste zur Ergänzung des Sachverhalts zurückgewiesen werden, wobei er im Einzelnen mehrere seiner Behauptungen rekapituliert, über welche Beweis abgenommen werden müsste. Wie zu zeigen sein wird (Erwägung 3), erweist sich die Sache indessen in diesem Punkt als spruchreif, so dass das Bundesgericht, wie von der Beschwerdeführerin verlangt, selbst materiell entscheiden könnte.</w:t>
      </w:r>
    </w:p>
    <w:p>
      <w:r>
        <w:t>Das Urteil des Bundesgerichts würde nicht das ganze Verfahren beenden, sondern nur über einen Teil der Begehren befinden. Soweit die Vorinstanz das Verfahren zur Ergänzung des Verfahrens und zu neuem Entscheid betreffend das Hauptklagebegehren Ziffer 3 zurückweist, ficht die Beschwerdeführerin den Rückweisungsbeschluss nicht an. Insoweit nimmt das Verfahren seine Fortsetzung. Da aber auch ein Teilentscheid ( Art. 91 BGG ) ein partieller Endentscheid darstellt, lässt es die Rechtsprechung zur Erfüllung der Voraussetzung nach Art. 93 Abs. 1 lit. b BGG genügen, wenn die Gutheissung der Beschwerde sofort einen Teilentscheid bewirken könnte (Urteil 4A_650/2010 vom 28. März 2011 E. 1.4 mit Hinweisen). Nachdem über die beiden Leistungsbegehren gemäss Hauptklagebegehren Ziffer 1 und Ziffer 3 unabhängig voneinander entschieden werden könnte, ist es vorliegend bei (teilweiser) Gutheissung der Beschwerde möglich, einen Teilentscheid zu fällen.</w:t>
      </w:r>
    </w:p>
    <w:p>
      <w:r>
        <w:t>Die erste Voraussetzung von Art. 93 Abs. 1 lit. b BGG ist demnach erfüllt.</w:t>
      </w:r>
    </w:p>
    <w:p>
      <w:r>
        <w:rPr>
          <w:b/>
        </w:rPr>
        <w:t>E. 1.5</w:t>
      </w:r>
    </w:p>
    <w:p>
      <w:r>
        <w:t>Zur zweiten Voraussetzung, der Ersparnis eines bedeutenden Aufwandes an Zeit oder Kosten für ein weitläufiges Beweisverfahren, legt die Beschwerdeführerin einleuchtend dar, dass das vom Bezirksgericht anzuordnende Gutachten zur Bewertung der F.________ AG ein weitläufiges und kostspieliges Beweisverfahren auslösen würde. Somit ist auch die zweite Voraussetzung von Art. 93 Abs. 1 lit. b BGG als gegeben zu betrachten.</w:t>
      </w:r>
    </w:p>
    <w:p>
      <w:r>
        <w:rPr>
          <w:b/>
        </w:rPr>
        <w:t>E. 1.6</w:t>
      </w:r>
    </w:p>
    <w:p>
      <w:r>
        <w:t>Bei Zwischenentscheiden folgt der Rechtsweg jenem der Hauptsache ( BGE 134 V 138 E. 3 S. 144; 133 III 645 E. 2.2 S. 647 f.). Diese betrifft eine vermögensrechtliche Zivilrechtsstreitigkeit mit einem Fr. 30'000.-- übersteigenden Streitwert ( Art. 74 Abs. 1 lit. b BGG ). Die Beschwerde in Zivilsachen erweist sich demnach als zulässig, womit die ebenfalls erhobene Verfassungsbeschwerde ausscheidet ( Art. 113 BGG ). Auf diese ist nicht einzutreten.</w:t>
      </w:r>
    </w:p>
    <w:p>
      <w:r>
        <w:rPr>
          <w:b/>
        </w:rPr>
        <w:t>E. 2.1</w:t>
      </w:r>
    </w:p>
    <w:p>
      <w:r>
        <w:t>Die Beschwerdeführerin rügt, die Vorinstanz habe die Dispositionsmaxime offensichtlich schwer verletzt. Während die Beschwerdeführerin mit ihrem Hauptklagebegehren Ziffer 1 stets nur einen Anspruch auf Rückerstattung der Kaufpreisanzahlung infolge ihres Rücktritts vom Aktienkaufvertrag (Rückabwicklungsanspruch) geltend gemacht habe, Zug um Zug gegen Heraus- bzw. Freigabe der von ihr gekauften Aktien der F.________ AG, wolle die Vorinstanz nun prüfen lassen, ob der Beschwerdeführerin allenfalls - unter Aufrechterhaltung des Aktienkaufvertrags - ein Anspruch auf (teilweise) Rückzahlung ihrer Kaufpreisanzahlung im Rahmen der definitiven Bestimmung des Kaufpreises für die F.________-Aktien zustehe. Einen solchen Erfüllungsanspruch habe die Beschwerdeführerin nie erhoben. Die Vorinstanz würde der Beschwerdeführerin etwas anderes (nämlich Erfüllung statt Rückabwicklung) zusprechen als von ihr beantragt. Darin liege eine willkürliche Anwendung von § 54 Abs. 2 aZPO/ZH.</w:t>
      </w:r>
    </w:p>
    <w:p>
      <w:r>
        <w:rPr>
          <w:b/>
        </w:rPr>
        <w:t>E. 2.2</w:t>
      </w:r>
    </w:p>
    <w:p>
      <w:r>
        <w:t>Für das Verfahren vor der Vorinstanz galt noch das bisherige kantonale Zivilprozessrecht ( Art. 404 Abs. 1 ZPO ), mithin die aZPO/ZH. Die Dispositionsmaxime gehörte unter dieser Verfahrensordnung dem kantonalen Recht an ( BGE 109 II 452 E. 5d S. 460). Vorliegend ist demnach die Dispositionsmaxime nach § 54 Abs. 2 aZPO/ZH massgebend. Danach darf das Gericht einer Partei weder mehr noch anderes zusprechen, als sie selbst verlangt, noch weniger, als der Gegner anerkannt hat.</w:t>
      </w:r>
    </w:p>
    <w:p>
      <w:r>
        <w:t>Die Anwendung kantonalen Rechts kann das Bundesgericht nur unter dem Blickwinkel einer Verletzung von Bundesrecht, namentlich des Willkürverbots, prüfen ( BGE 135 III 513 E. 4.3 S. 521 f.; 133 III 462 E. 2.3 S. 466). Die Beschwerdeführerin rügt denn auch die willkürliche Anwendung von § 54 Abs. 2 aZPO/ZH. Sie erhebt diese Rüge zwar im Rahmen der subsidiären Verfassungsbeschwerde, auf die nicht einzutreten ist. Die Rüge ist aber auch in der Beschwerde in Zivilsachen zulässig und daher ohne Weiteres im Rahmen derselben zu prüfen.</w:t>
      </w:r>
    </w:p>
    <w:p>
      <w:r>
        <w:rPr>
          <w:b/>
        </w:rPr>
        <w:t>E. 2.3</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137 I 1 E. 2.4 mit Hinweisen).</w:t>
      </w:r>
    </w:p>
    <w:p>
      <w:r>
        <w:rPr>
          <w:b/>
        </w:rPr>
        <w:t>E. 2.4</w:t>
      </w:r>
    </w:p>
    <w:p>
      <w:r>
        <w:t>Die Dispositionsmaxime bedeutet, dass die Parteien über den Streitgegenstand bestimmen, d.h. ob, wann, in welchem Umfang und wie lange sie als Kläger einen Anspruch gerichtlich geltend machen bzw. als Beklagter anerkennen wollen (vgl. BGE 134 III 151 E. 3.2 S. 158; 111 II 358 E. 1 S. 360; 110 II 113 E. 4).</w:t>
      </w:r>
    </w:p>
    <w:p>
      <w:r>
        <w:t>Ob ein Gericht mehr oder anderes zugesprochen hat, als eine Prozesspartei verlangt hat, misst sich in erster Linie an den gestellten Rechtsbegehren. Auf deren Begründung wird nur zurückgegriffen, wenn das Begehren unklar ist und einer Auslegung bedarf. Wo das Gericht gehalten ist, das Recht von Amtes wegen anzuwenden, verletzt es die Dispositionsmaxime nicht, wenn es den gestellten Antrag mit einer anderen rechtlichen Begründung gutheisst als der Antragsteller vorgebracht hat. Nach der bundesgerichtlichen Rechtsprechung liegt eine Verletzung des Grundsatzes "ne eat iudex ultra petita partium" nicht vor, wenn ein Gericht den eingeklagten Anspruch in rechtlicher Hinsicht ganz oder teilweise abweichend von den Begründungen der Parteien würdigt, sofern er vom Rechtsbegehren gedeckt ist ( BGE 120 II 172 E. 3a S. 175). Das Gericht ist aber an den Gegenstand und Umfang des Begehrens gebunden, insbesondere wenn der Kläger seine Ansprüche im Rechtsbegehren selbst qualifiziert oder beschränkt (Urteil 4A_464/2009 vom 15. Februar 2010 E. 4.1 mit Hinweis).</w:t>
      </w:r>
    </w:p>
    <w:p>
      <w:r>
        <w:rPr>
          <w:b/>
        </w:rPr>
        <w:t>E. 2.5</w:t>
      </w:r>
    </w:p>
    <w:p>
      <w:r>
        <w:t>Letzteres trifft vorliegend auf das Hauptklagebegehren Ziffer 1 zu. Die Beschwerdeführerin verlangte die Zahlung von EUR 25'564'594 nebst Zins zu 5% seit dem 20. Februar 1995 und stützte diesen Antrag in rechtlicher Hinsicht auf den Rückabwicklungsanspruch infolge ihres Rücktritts vom Aktienkaufvertrag, den sie am 7. Dezember 1995 mit dem Beschwerdegegner geschlossen hatte. Dies brachte sie im Rechtsbegehren selbst insofern zum Ausdruck, als sie Zahlung Zug um Zug gegen Herausgabe bzw. Freigabe der gekauften Aktien der F.________ AG verlangte. Die Vorinstanz verwarf ein Rücktrittsrecht der Beschwerdeführerin. Trotzdem wies sie das Hauptklagebegehren Ziffer 1 nicht ab, sondern erwog, dass - bei Aufrechterhaltung des Aktienkaufvertrags - das Leistungsbegehren der Beschwerdeführerin allenfalls (teilweise) berechtigt sein könnte, weil sie mit der erbrachten Kaufpreisrate allenfalls schon zu viel bezahlt hat. Dazu müsse der Kaufpreis ausgehend von § 3 Abs. 1 und 2 des Aktienkaufvertrags ermittelt werden.</w:t>
      </w:r>
    </w:p>
    <w:p>
      <w:r>
        <w:t>Mit diesem Vorgehen übersieht die Vorinstanz, dass die Beschwerdeführerin mit ihrem Hauptklagebegehren Ziffer 1 nicht einfach einen nicht weiter qualifizierten Anspruch auf Geldleistung geltend machte. Vielmehr individualisierte sie ihr Begehren klarerweise als Rückabwicklungsanspruch, indem sie die Rückzahlung der geleisteten Anzahlung Zug um Zug gegen Herausgabe bzw. Freigabe der gekauften Aktien der F.________ AG verlangte. Die Beschwerdeführerin bringt zu Recht vor, dass sie ihr Rechtsbegehren mit der Zug-um-Zug-Klausel qualifiziert und beschränkt habe. Daran war die Vorinstanz gebunden (Erwägung 2.4 in fine). Die Vorinstanz ging ohne Begründung über diese Bindung hinweg und verletzte damit die Dispositionsmaxime in unhaltbarer Weise.</w:t>
      </w:r>
    </w:p>
    <w:p>
      <w:r>
        <w:rPr>
          <w:b/>
        </w:rPr>
        <w:t>E. 2.6</w:t>
      </w:r>
    </w:p>
    <w:p>
      <w:r>
        <w:t>Was der Beschwerdegegner vorbringt, erheischt keine andere Beurteilung:</w:t>
      </w:r>
    </w:p>
    <w:p>
      <w:r>
        <w:t>Er weist auf die Regelung von Art. 205 Abs. 2 OR hin. Danach steht es dem Richter frei, auch wenn die Wandelungsklage angestellt worden ist, bloss Ersatz des Minderwertes zuzusprechen, sofern die Umstände es nicht rechtfertigen, den Kauf rückgängig zu machen. Diese Spezialregelung für Klagen auf Sachgewährleistung (vgl. dazu STAEHELIN/ STAEHELIN/GROLIMUND, Zivilprozessrecht, 2008, § 10 Rz. 13) ist indessen vorliegend nicht einschlägig, geht es doch nicht um Sachgewährleistung, sondern um eine Rückabwicklungsforderung infolge eines Vertragsrücktritts wegen Verletzung von vertraglichen Nebenpflichten.</w:t>
      </w:r>
    </w:p>
    <w:p>
      <w:r>
        <w:t>Auch die Berufung auf das Urteil 4P.16/2007 vom 7. September 2007 E. 4.1 hilft nicht weiter. Dort fiel die Zug-um-Zug-Klausel weg, weil jener Teil des Rechtsbegehrens, der sich auf die im Gegenzug zu erbringende Leistung bezog, gegenstandslos wurde. Eine solche spezielle Konstellation ist vorliegend nicht gegeben.</w:t>
      </w:r>
    </w:p>
    <w:p>
      <w:r>
        <w:t>Schliesslich kann auch nicht gesagt werden, die Beschwerdeführerin sei nicht legitimiert, die Verletzung der Dispositionsmaxime geltend zu machen, weil sie nicht beschwert werde, wenn ihr mehr zugesprochen würde als beantragt, nämlich Geldzahlung ohne Rückgabe der Aktien, wie der Beschwerdegegner meint. Mit der Rückweisung zur Bestimmung des Kaufpreises ist die Durchführung eines Beweisverfahrens über den Ertragswert der F.________ AG per 1. Januar 1999 verbunden. Die Beschwerdeführerin bringt vor, dass sie die tatsächlichen Grundlagen zu diesem Streitgegenstand nicht vorgetragen habe. Hinsichtlich der eigentlichen Unternehmensbewertung der F.________ AG habe sie nur zur diesbezüglichen Widerklage des Beschwerdegegners Stellung genommen. Diese sei aber vor der Vorinstanz fallen gelassen worden. Da sie nie einen eigenen Anspruch auf Erfüllung des Aktienkaufvertrags (teilweise oder vollständige Rückerstattung der Kaufpreisanzahlung aufgrund einer Bewertung der F.________ AG) geltend gemacht habe, habe sie diesen Anspruch auch nicht substantiiert. Wenn sie nun aber nicht das Recht erhielte, die tatsächlichen Grundlagen zur Bewertung der F.________ AG umfassend selber vorzutragen, würde ihr Gehörsanspruch verletzt. Diese Vorbringen treffen zu. Sodann umfasst die Dispositionsmaxime gerade das Recht der Partei, selber zu bestimmen, ob und wann sie einen Anspruch geltend machen will. Wenn dieses Recht missachtet wird, ist die Partei beschwert.</w:t>
      </w:r>
    </w:p>
    <w:p>
      <w:r>
        <w:rPr>
          <w:b/>
        </w:rPr>
        <w:t>E. 2.7</w:t>
      </w:r>
    </w:p>
    <w:p>
      <w:r>
        <w:t>Nach dem Gesagten ist eine willkürliche Handhabung der Dispositionsmaxime nach § 54 Abs. 2 aZPO/ZH dargetan.</w:t>
      </w:r>
    </w:p>
    <w:p>
      <w:r>
        <w:rPr>
          <w:b/>
        </w:rPr>
        <w:t>E. 3</w:t>
      </w:r>
    </w:p>
    <w:p>
      <w:r>
        <w:t>Im Weiteren wirft die Beschwerdeführerin der Vorinstanz eine Bundesrechtsverletzung vor, indem sie ihr nicht gestützt auf Art. 97 Abs. 1 bzw. Art. 107 Abs. 2 und Art. 109 OR analog ein Rücktrittsrecht vom Aktienkaufvertrag zuerkannt habe.</w:t>
      </w:r>
    </w:p>
    <w:p>
      <w:r>
        <w:rPr>
          <w:b/>
        </w:rPr>
        <w:t>E. 3.1</w:t>
      </w:r>
    </w:p>
    <w:p>
      <w:r>
        <w:t>Kann die Erfüllung der Verbindlichkeit überhaupt nicht oder nicht gehörig bewirkt werden, so hat der Schuldner für den daraus entstandenen Schaden Ersatz zu leisten, sofern er nicht beweist, dass ihm keinerlei Verschulden zur Last falle ( Art. 97 Abs. 1 OR ). Eine Form der nicht gehörigen Erfüllung stellt insbesondere die Verletzung von vertraglichen Nebenpflichten dar. Zu diesen gehören Verhaltenspflichten, die zum Zweck haben, die Hauptleistung zu ergänzen und deren ordnungsgemässe Erfüllung zu sichern bzw. den Vertragszweck zu erreichen, wie namentlich Schutz-, Obhuts-, Beratungs-, Unterlassungs-, Informations- und Aufklärungspflichten (Urteil 4A_306/2009 vom 8. Februar 2010 E. 6.1; WEBER, Berner Kommentar, 3. Aufl. 2000, Vorbem. zu Art. 97-109 OR , N. 43, 54 ff. und 95 zu Art. 97 OR ; WIEGAND, in: Basler Kommentar, Obligationenrecht, Bd. I, 5. Aufl. 2011, N. 32 ff. zu Art. 97 OR ; GAUCH/SCHLUEP/SCHMID/EMMENEGGER, OR Allgemeiner Teil, 9. Aufl., 2008, Rz. 2642 ff.).</w:t>
      </w:r>
    </w:p>
    <w:p>
      <w:r>
        <w:t>Wenn sich ein Schuldner bei zweiseitigen Verträgen im Verzug befindet, so ist der Gläubiger berechtigt, ihm eine angemessene Frist zur nachträglichen Erfüllung anzusetzen oder durch die zuständige Behörde ansetzen zu lassen ( Art. 107 Abs. 1 OR ). Wird auch bis zum Ablauf dieser Frist nicht erfüllt, hat der Gläubiger die Wahl, entweder immer noch Erfüllung - sowie Verspätungsschaden - zu verlangen oder, wenn er es unverzüglich erklärt, auf die nachträgliche Leistung zu verzichten. Verzichtet er auf nachträgliche Leistung, kann er entweder Schadenersatz wegen Nichterfüllung verlangen oder vom Vertrag zurücktreten (vgl. Art. 107 Abs. 2 OR ).</w:t>
      </w:r>
    </w:p>
    <w:p>
      <w:r>
        <w:t>Art. 97 Abs. 1 OR sieht für alle Vertragsverletzungen nur eine Rechtsfolge, nämlich den Schadenersatzanspruch des Gläubigers vor. In der Lehre wird teilweise dennoch zusätzlich ein Rücktrittsrecht im Sinne von Art. 107 ff. OR befürwortet, vorwiegend allerdings nur bei einer schwerwiegenden Pflichtverletzung, die das Vertrauensverhältnis der Parteien so stark erschüttert, dass eine Fortsetzung der Vertragsbindung nicht ohne Weiteres mehr als zumutbar erscheint (WEBER, a.a.O., N. 270 zu Art. 97 OR ; WIEGAND, a.a.O., N. 58 zu Art. 97 OR ).</w:t>
      </w:r>
    </w:p>
    <w:p>
      <w:r>
        <w:t>Mehrheitlich wird die Meinung vertreten, die Verletzung blosser Nebenpflichten berechtige den Gläubiger nur zu Schadenersatz, grundsätzlich nicht aber zur Aufhebung des Synallagma (WIEGAND, a.a.O., N. 4 zu Art. 107 OR ; VON TUHR/ESCHER, Allgemeiner Teil des schweizerischen Obligationenrechts, Bd. II, 3. Aufl. 1974, S. 157; WEBER, a.a.O., N. 45 zu Art. 107 OR mit weiteren Hinweisen). Demgegenüber befürwortet etwa KOLLER (Schweizerisches Obligationenrecht Allgemeiner Teil, 3. Aufl. 2009, § 58 insb. N. 7 in fine und N. 8), dass selbst die Verletzung nicht leistungsbezogener Nebenpflichten in Ausnahmefällen zur Vertragsauflösung berechtige.</w:t>
      </w:r>
    </w:p>
    <w:p>
      <w:r>
        <w:rPr>
          <w:b/>
        </w:rPr>
        <w:t>E. 3.2</w:t>
      </w:r>
    </w:p>
    <w:p>
      <w:r>
        <w:t>Wie es sich damit verhält, braucht vorliegend nicht entschieden zu werden. Denn auf dem Boden der verbindlichen Feststellungen der Vorinstanz ( Art. 105 Abs. 1 BGG ) kann jedenfalls keine Nebenpflicht aus dem Aktienkaufvertrag vom 7. Dezember 1995 erblickt werden, die der Beschwerdegegner schwerwiegend verletzt hätte, so dass der Beschwerdeführerin ein Festhalten am Aktienkaufvertrag nicht mehr zumutbar wäre. Im kantonalen Verfahren warf die Beschwerdeführerin dem Beschwerdegegner vor, die Unverwertbarkeit des Schiedsgutachtens K.________ nicht anerkannt, die Vorbefassung von K.________ nicht offen gelegt zu haben, und mit unzulässigen Mitteln versucht zu haben, das Bewertungsverfahren zu seinen Gunsten zu beeinflussen, von welchem Verhalten er sich nicht klar distanziert habe. Ausserdem habe er die notwendigen Unterlagen dem von der Beschwerdeführerin bestellten Gutachter nicht ausgehändigt. Ihr sei wegen dieser Pflichtverletzungen des Beschwerdegegners eine erneute Durchführung des Bewertungsverfahrens nicht zumutbar. In der Beschwerde begründet die Beschwerdeführerin das geltend gemachte Rücktrittsrecht dahingehend, dass der Beschwerdegegner die sich mit dem Abschluss der Zusatzvereinbarung vom 28. Januar 2003 ergebende Schutzpflicht krass verletzt habe, dass keiner der Vertragspartner in einer Weise auf den Gutachter einwirke, dass dieser die für die ordnungsgemässe Erfüllung seiner Aufgabe notwendige Neutralität verletze.</w:t>
      </w:r>
    </w:p>
    <w:p>
      <w:r>
        <w:t>Die Vorinstanz stellte zu Recht fest, dass die Frage der Verwertbarkeit des Schiedsgutachtens K.________ nicht die vertraglichen Nebenpflichten des Beschwerdegegners betrifft, sondern ob dieses Schiedsgutachten eine taugliche Grundlage für die Bestimmung des Kaufpreises bildet. Daraus kann keine Verletzung einer Nebenpflicht aus dem Aktienkaufvertrag vom 7. Dezember 1995 abgeleitet werden. Das Gleiche gilt für den Vorwurf, der Beschwerdegegner habe die notwendigen Unterlagen dem von der Beschwerdeführerin bestellten Gutachter nicht ausgehändigt. Dazu hielt die Vorinstanz zutreffend fest, dass keine Verpflichtung des Beschwerdegegners bestand, dem Privatgutachter der Beschwerdeführerin irgendwelche Unterlagen abzugeben. Die Beschwerdeführerin insistiert denn auch nicht mehr auf diesem Punkt. Wenn sie geltend macht, der Beschwerdegegner habe durch seine "Manipulationen des Bewertungsverfahrens Prof. K.________" seine vertragliche Schutzpflicht krass verletzt, so kann auch in diesem Zusammenhang keine aus dem Aktienkaufvertrag vom 7. Dezember 1995 fliessende Nebenpflicht erblickt werden, deren Verletzung die Beschwerdeführerin zum Rücktritt berechtigen könnte, so man eine solche Möglichkeit denn überhaupt grundsätzlich anerkennen würde.</w:t>
      </w:r>
    </w:p>
    <w:p>
      <w:r>
        <w:t>Die Einflussnahme des Beschwerdegegners auf den gemeinsam bestellten Schiedsgutachter K.________ erscheint als Verletzung einer vertraglichen Nebenpflicht aus der Zusatzvereinbarung vom 28. Januar 2003. Denn mit der Bestellung eines gemeinsamen Schiedsgutachters gemäss dieser Vereinbarung darf erwartet werden, dass keine der Parteien die Neutralität des Gutachters zu beeinträchtigen sucht. Die Vorinstanz wertete das beanstandete Verhalten des Beschwerdegegners, soweit sie dieses als erwiesen erachtete, zutreffend u.a. als Verletzung einer vertraglichen Nebenpflicht, was die Beschwerdeführerin berechtige, Schadenersatz zu verlangen, wie dies die Beschwerdeführerin mit ihrem Hauptklagebegehren Ziffer 3 beantragte. Als Grundlage für einen Rücktritt vom Aktienkaufvertrag wegen Unzumutbarkeit der Fortführung desselben taugt dieses Verhalten des Beschwerdegegners aber nicht.</w:t>
      </w:r>
    </w:p>
    <w:p>
      <w:r>
        <w:rPr>
          <w:b/>
        </w:rPr>
        <w:t>E. 3.3</w:t>
      </w:r>
    </w:p>
    <w:p>
      <w:r>
        <w:t>Die vorinstanzliche Verneinung eines Rücktrittsrechts ist demnach nicht zu beanstanden.</w:t>
      </w:r>
    </w:p>
    <w:p>
      <w:r>
        <w:rPr>
          <w:b/>
        </w:rPr>
        <w:t>E. 4</w:t>
      </w:r>
    </w:p>
    <w:p>
      <w:r>
        <w:t>Die Beschwerde ist in Bezug auf die Verletzung der Dispositionsmaxime begründet, in Bezug auf die Ablehnung eines Rücktrittsrechts vom Aktienkaufvertrag unbegründet und somit teilweise gutzuheissen. Dies bedeutet, dass Ziffer 3 des Rückweisungsbeschlusses des Obergerichts vom 12. April 2011 insoweit aufzuheben ist, als damit Rückweisung an das Bezirksgericht zwecks Durchführung einer Unternehmensbewertung im Sinne der vorinstanzlichen Erwägung 9 angeordnet wird. Da aber - entgegen der Auffassung der Beschwerdeführerin - der von ihr geltend gemachte Anspruch auf Rückzahlung der geleisteten Anzahlung Zug um Zug gegen Herausgabe bzw. Freigabe der gekauften Aktien nicht geschützt werden kann, ist das Hauptklagebegehren Ziffer 1 abzuweisen. Wohl bemerkt, liegt darin nicht etwa eine reformatio in pejus. Denn die Beschwerdeführerin verlangt vom Bundesgericht ausdrücklich einen materiellen Entscheid über den geltend gemachten Rückwicklungsanspruch infolge Vertragsrücktritt. Sie musste damit rechnen, dass dieser abgewiesen werden könnte, wenn das Bundesgericht der Beschwerdebegründung nicht folgen sollte. Sie selber führt denn auch in der Beschwerde aus, dass diesfalls das Hauptklagebegehren Ziffer 1 abzuweisen wäre (Beschwerde S. 13 Ziff. 39). Zutreffend bemerkt sie dort auch, dass in diesem Fall auf das Hauptklage-Eventualbegehren Ziffer 2.1 nicht einzutreten und das Hauptklage-Eventualbegehren Ziffer 2.2 abzuweisen ist. Die Vorinstanz hat denn auch über die beiden dem Hauptklagebegehren 1 zugeordneten Eventualbegehren in den Erwägungen entsprechend entschieden (Erwägung 6.3 betreffend Hauptklage-Eventualbegehren Ziffer 2.1 auf Feststellung; Erwägung 10 betreffend Hauptklage-Eventualbegehren Ziffer 2.2 betreffend Herausgabe). Hinsichtlich dieser Punkte hat die Beschwerdeführerin deren Entscheid nicht angefochten.</w:t>
      </w:r>
    </w:p>
    <w:p>
      <w:r>
        <w:rPr>
          <w:b/>
        </w:rPr>
        <w:t>E. 5</w:t>
      </w:r>
    </w:p>
    <w:p>
      <w:r>
        <w:t>Die Beschwerdeführerin erhält Recht in Bezug auf ihre Rüge einer willkürlichen Anwendung von § 54 Abs. 2 aZPO/ZH. Dies bleibt aber quantitativ ohne Auswirkung auf ihre Ansprüche. Mit ihrem materiellen Begehren (Hauptklagebegehren Ziffer 1) unterliegt sie vollumfänglich. Dies rechtfertigt es, die bundesgerichtlichen Kosten- und Entschädigungsfolgen im Verhältnis von drei Vierteln zulasten der Beschwerdeführerin und zu einem Viertel zulasten des Beschwerdegegners, der sich gegen die geltend gemachte Verletzung der Dispositionsmaxime stellte, vorzunehmen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