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4A_307/2007 vom 6. Dezember 2007</w:t>
      </w:r>
    </w:p>
    <w:p>
      <w:r>
        <w:t>Bundesgericht, 2007-12-06, FR</w:t>
      </w:r>
    </w:p>
    <w:p>
      <w:r>
        <w:rPr>
          <w:b/>
        </w:rPr>
        <w:t xml:space="preserve">Quelle: </w:t>
      </w:r>
      <w:r>
        <w:t>https://mcp.opencaselaw.ch/entscheid/bger_4A_307_2007</w:t>
      </w:r>
    </w:p>
    <w:p>
      <w:r>
        <w:t>FR: TF 4A_307/2007 du 6 décembre 2007</w:t>
      </w:r>
    </w:p>
    <w:p>
      <w:r>
        <w:t>IT: TF 4A_307/2007 del 6 dicembre 2007</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et 74 al. 1 let. b LTF). Il est formé par deux parties qui ont pris part à l'instance précédente et succombé dans leurs conclusions ( art. 76 al. 1 LTF ). Déposé en temps utile ( art. 100 al. 1 LTF ), le recours est recevable dans la mesure où il est suffisamment motivé (consid. 2 ci-dessous).</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ne se prononce sur la violation de droits fondamentaux que si le grief est invoqué et motivé de façon détaillée ( art. 106 al. 2 LTF ; même arrêt, consid. 1.4.2).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 ATF 133 II 249 consid. 1.4.3 p. 254; voir aussi ATF 130 I 258 consid. 1.3 p. 261/262; 125 I 492 consid. 1b p. 495).</w:t>
      </w:r>
    </w:p>
    <w:p>
      <w:r>
        <w:rPr>
          <w:b/>
        </w:rPr>
        <w:t>E. 2</w:t>
      </w:r>
    </w:p>
    <w:p>
      <w:r>
        <w:t>Les demandeurs soutiennent que le contrat conclu le 5 décembre 1998 obligeait les défendeurs à payer le prix convenu et, de plus, à prendre en charge le remboursement des dettes hypothécaires de M.________ SA. Ils reprochent à la Cour civile d'avoir violé l' art. 18 CO , relatif à l'interprétation des contrats, en retenant que les défendeurs devaient seulement le prix convenu.</w:t>
      </w:r>
    </w:p>
    <w:p>
      <w:r>
        <w:t>Leur argumentation n'indique pas comment ils parviennent au montant de 1'004'602 fr.10 censément dû pour le remboursement des dettes hypothécaires; sur ce point, le recours n'est pas motivé conformément aux exigences de l' art. 42 al. 2 LTF . En tant que la contestation porte sur les prétentions reconventionnelles des défendeurs, le recours est irrecevable parce que dépourvu de toute motivation.</w:t>
      </w:r>
    </w:p>
    <w:p>
      <w:r>
        <w:t>Les conclusions concernant les dépens de l'instance cantonale sont recevables en tant que le Tribunal fédéral peut, selon l'issue de la cause, fixer lui-même ces dépens d'après le tarif cantonal ( art. 68 al. 5 LTF ).</w:t>
      </w:r>
    </w:p>
    <w:p>
      <w:r>
        <w:rPr>
          <w:b/>
        </w:rPr>
        <w:t>E. 3</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(cf. ATF 131 III 606 consid. 4.1 p. 611; 129 III 618 consid. 3 p. 620, 129 III 664 consid. 3.1 p. 667). Déterminer ce que les parties savent ou veulent au moment de conclure relève en effet de la constatation des faits ( ATF 131 III 606 , ibidem; 128 III 419 consid. 2.2 p. 422).</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 ATF 132 III 24 consid. 4 p. 27/28). Le principe de la confiance permet d'imputer à une partie le sens objectif de sa déclaration ou de son comportement, même si celui-ci ne correspond pas à sa volonté intime ( ATF 131 III 606 consid. 4.1 p. 611; 130 III 417 consid. 3.2 p. 424; 129 III 118 consid. 2.5 p. 123, 664 consid. 3.1 p. 667). L'application du principe de la confiance est une question de droit que le Tribunal fédéral examine librement. Pour résoudre cette question de droit, il doit cependant apprécier le contenu de la manifestation de volonté concernée et les circonstances dans lesquelles elle est intervenue, points qui relèvent du fait ( ATF 132 III 24 consid. 4 p. 28; 131 III 606 consid. 4.1 p. 611; 130 III 417 consid. 3.2 p. 425).</w:t>
      </w:r>
    </w:p>
    <w:p>
      <w:r>
        <w:t>La Cour civile s'est dûment référée à ces principes. Elle fonde sa décision sur deux motivations convergentes: l'une constate en fait la réelle et commune intention des parties; l'autre, subsidiaire, repose sur une interprétation objective de leurs manifestations de volonté.</w:t>
      </w:r>
    </w:p>
    <w:p>
      <w:r>
        <w:rPr>
          <w:b/>
        </w:rPr>
        <w:t>E. 4</w:t>
      </w:r>
    </w:p>
    <w:p>
      <w:r>
        <w:t>Invoquant l' art. 9 Cst. , les demandeurs reprochent à la Cour d'avoir constaté arbitrairement qu'il existât, lors de la conclusion du contrat, une intention commune des parties.</w:t>
      </w:r>
    </w:p>
    <w:p>
      <w:r>
        <w:t>Dans l'appréciation des preuves et la constatation des faits, l'autorité viole l' 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arrêt 2C_224/2007 du 10 septembre 2007, consid. 3.3 destiné à la publication).</w:t>
      </w:r>
    </w:p>
    <w:p>
      <w:r>
        <w:t>De l'arrêt dont est recours, on extrait le passage ci-après:</w:t>
      </w:r>
    </w:p>
    <w:p>
      <w:r>
        <w:t>Au moment de conclure l'acte de vente, il était clair dans l'esprit des parties et du notaire qu'il s'agissait d'une vente mobilière, portant sur les actions de la société immobilière, qui correspondait, du point de vue économique, à la vente de l'immeuble. Pour les parties au contrat, le prix de vente de 1'930'000 fr. s'entendait au total, y compris le montant des dettes hypothécaires, qu'il appartenait aux vendeurs de régler, conformément à la pratique habituelle. La courtière N.________ en avait expressément parlé avec le demandeur X.________, le fiscaliste O.________ et la famille Z.________ lors d'un entretien dans le bureau O.________ à Pully. Le demandeur avait demandé quel montant lui resterait après le paiement des dettes hypothécaires et il lui avait été répondu que c'était un montant compris entre 300'000 et 500'000 francs. Cela n'a pas été rediscuté lors de la signature de l'acte chez le notaire. C'était un montant de cet ordre que le demandeur X.________ souhaitait garder pour lui après le paiement de toutes les dettes.</w:t>
      </w:r>
    </w:p>
    <w:p>
      <w:r>
        <w:t>La Cour discute ensuite les éléments de preuve sur lesquels elle fonde cet exposé, en expliquant de façon concise mais précise pourquoi elle retient certains témoignages, tels que celui de la courtière, et écarte d'autres dépositions; en particulier, elle souligne que le témoignage du fiscaliste, celui-ci s'étant exprimé en faveur d'une estimation de l'immeuble à plus de 3'000'000 de francs, ne se rapporte pas à l'intention des parties lors de la conclusion du contrat.</w:t>
      </w:r>
    </w:p>
    <w:p>
      <w:r>
        <w:t>Pour contester le jugement de la Cour, les demandeurs invoquent d'autres faits survenus bien après la conclusion du contrat: le 22 mars 1999, en vue d'inciter l'autorité fiscale à modifier son évaluation de l'immeuble, le notaire a proposé que les parties signent un « avenant » destiné à confirmer qu'elles évaluaient ce bien à 1'930'000 fr.; répondant à cet homme de loi, les demandeurs ont refusé leur signature et interdit que les dettes hypothécaires soient remboursées sur le prix de vente des actions. La Cour a discuté la portée de cette manifestation de volonté; à son avis, intervenue après l'évaluation de l'immeuble par l'autorité fiscale et après que cette évaluation eut été approuvée par le fiscaliste O.________, elle « ne remet pas en cause » l'intention qui était celle des demandeurs lors de la conclusion du contrat. Or, le Tribunal fédéral ne discerne pas en quoi cette appréciation pourrait être jugée arbitraire et les demandeurs n'avancent eux-mêmes rien à ce sujet; ils se bornent à répéter que l'avenant proposé ne correspondait ni au contrat ni à leur propre intention. Il est douteux que cette argumentation satisfasse aux exigences précitées concernant le recours pour violation de droits constitutionnels; de toute manière, elle ne parvient aucunement à mettre en évidence un vice certain dans les constatations litigieuses.</w:t>
      </w:r>
    </w:p>
    <w:p>
      <w:r>
        <w:t>Le grief d'arbitraire se révèle privé de fondement, dans la mesure où il est recevable, ce qui conduit au rejet du grief tiré de l' art. 18 CO et au rejet du recours; il n'est pas nécessaire d'examiner les critiques que les demandeurs développent contre la motivation subsidiaire de l'arrêt attaqué. Il n'y a pas lieu de modifier les dépens de l'instance cantonale.</w:t>
      </w:r>
    </w:p>
    <w:p>
      <w:r>
        <w:rPr>
          <w:b/>
        </w:rPr>
        <w:t>E. 5</w:t>
      </w:r>
    </w:p>
    <w:p>
      <w:r>
        <w:t>A titre de parties qui succombent, les demandeurs doivent acquitter l'émolument à percevoir par le Tribunal fédéral et les dépens de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