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306/2021 vom 6. September 2021</w:t>
      </w:r>
    </w:p>
    <w:p>
      <w:r>
        <w:t>Bundesgericht, 2021-09-06, FR</w:t>
      </w:r>
    </w:p>
    <w:p>
      <w:r>
        <w:rPr>
          <w:b/>
        </w:rPr>
        <w:t xml:space="preserve">Quelle: </w:t>
      </w:r>
      <w:r>
        <w:t>https://mcp.opencaselaw.ch/entscheid/bger_4A_306_2021</w:t>
      </w:r>
    </w:p>
    <w:p>
      <w:r>
        <w:t>FR: TF 4A 306/2021 du 6 septembre 2021</w:t>
      </w:r>
    </w:p>
    <w:p>
      <w:r>
        <w:t>IT: TF 4A 306/2021 del 6 settembre 2021</w:t>
      </w:r>
    </w:p>
    <w:p>
      <w:pPr>
        <w:pStyle w:val="Heading2"/>
      </w:pPr>
      <w:r>
        <w:t>Regeste</w:t>
      </w:r>
    </w:p>
    <w:p>
      <w:r>
        <w:t>arbitrage international en matière de sport,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Devant le TAS, les parties se sont servies du français et dans le mémoire qu'il a adressé au Tribunal fédéral, le recourant a employé le français.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 l'unique moyen soulevé dans le mémoire de recours, aucune de ces conditions de recevabilité ne fait problème en l'espèce. Rien ne s'oppose donc à l'entrée en matière. Demeure réservé l'examen, sous l'angle de sa motivation, du grief invoqué par le recourant.</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arrêts cités). Cela suppose que le recourant discute les motifs de la sentence entreprise et indique précisément en quoi il estime que l'auteur de celle-ci a méconnu le droit (arrêt 4A_522/2016 du 2 décembre 2016 consid. 3.1).</w:t>
      </w:r>
    </w:p>
    <w:p>
      <w:r>
        <w:rPr>
          <w:b/>
        </w:rPr>
        <w:t>E. 4</w:t>
      </w:r>
    </w:p>
    <w:p>
      <w:r>
        <w:t>Dans un unique moyen, le recourant se plaint d'une violation de son droit d'être entendu.</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En Suisse, le droit d'être entendu se rapporte surtout à la constatation des faits. Le droit des parties d'être interpellées sur des questions juridiques n'est reconnu que de manière restreinte. En règle générale, les tribunaux étatiques ou arbitraux apprécient librement la portée juridique des faits et ils peuvent statuer aussi sur la base de règles de droit autres que celles invoquées par les parties. A titre exceptionnel, il convient d'interpeller les parties lorsque le juge ou le tribunal arbitral envisage de fonder sa décision sur une norme ou une considération juridique qui n'a pas été évoquée au cours de la procédure et dont les parties ne pouvaient pas supputer la pertinence ( ATF 130 III 35 consid. 5 et les arrêts cités).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4.2</w:t>
      </w:r>
    </w:p>
    <w:p>
      <w:r>
        <w:t>Plaidant l'effet de surprise, le recourant reproche à l'arbitre d'avoir violé son droit d'être entendu en procédant à l'interprétation de la décision rendue le 3 janvier 2018 par la CNRL sans jamais solliciter l'avis des parties sur ce point.</w:t>
      </w:r>
    </w:p>
    <w:p>
      <w:r>
        <w:rPr>
          <w:b/>
        </w:rPr>
        <w:t>E. 4.3</w:t>
      </w:r>
    </w:p>
    <w:p>
      <w:r>
        <w:t>Dans la sentence attaquée, l'arbitre a relevé que la rédaction des décisions rendues par la CNRL et la CCA étaient ambiguës. Examinant plus attentivement la portée de la première décision rendue par la CNRL, elle a estimé que ladite autorité avait bel et bien admis que le recourant avait résilié le contrat de travail sans juste cause. Aussi le recourant ne pouvait-il plus contester devant le TAS sa propre responsabilité, puisqu'il n'avait pas attaqué la décision prise le 3 janvier 2018 par la CNRL.</w:t>
      </w:r>
    </w:p>
    <w:p>
      <w:r>
        <w:rPr>
          <w:b/>
        </w:rPr>
        <w:t>E. 4.4</w:t>
      </w:r>
    </w:p>
    <w:p>
      <w:r>
        <w:t>Force est d'emblée de relever que la motivation du grief laisse fortement à désirer, de sorte que l'on peut sérieusement douter de sa recevabilité. Quoi qu'il en soit, le recourant n'est de toute manière pas crédible lorsqu'il plaide l'effet de surprise. Il est en effet clair que la portée exacte des décisions rendues par la CNRL et le CCA constituait l'un des enjeux principaux de la procédure arbitrale conduite par le TAS. Pour s'en convaincre, il suffit d'examiner la sentence attaquée. L'arbitre a notamment souligné que la rédaction des décisions prises par les instances de C.________ était ambigüe " comme le débat entre les parties l'illustr[ait] " (sentence, n. 164). Résumant les thèses et arguments antagonistes des parties, elle a en outre relevé que le recourant prétendait que la décision rendue le 3 janvier 2018 par la CNRL n'avait eu aucune incidence sur la question de sa responsabilité au titre de la rupture du contrat de travail (sentence, n. 102). Aussi le recourant est-il particulièrement malvenu de venir invoquer aujourd'hui un quelconque effet de surprise. Pour le reste, le recourant, sous le couvert d'une prétendue violation de son droit d'être entendu, s'en prend à la motivation de l'arbitre et cherche à obtenir un examen matériel de la sentence par l'autorité de recours, ce qui n'est pas admissible. Il s'ensuit le rejet, dans la mesure de sa recevabilité, du grief tiré de la violation du droit d'être entendu.</w:t>
      </w:r>
    </w:p>
    <w:p>
      <w:r>
        <w:rPr>
          <w:b/>
        </w:rPr>
        <w:t>E. 5</w:t>
      </w:r>
    </w:p>
    <w:p>
      <w:r>
        <w:t>Au vu de ce qui précède, le recours doit être rejeté dans la mesure où il est recevable. Le recourant qui succombe, devra payer les frais judiciaires ( art. 66 al. 1 LTF ) et verser des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