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306/2016 vom 5. Juli 2016</w:t>
      </w:r>
    </w:p>
    <w:p>
      <w:r>
        <w:t>Bundesgericht, 2016-07-05, DE</w:t>
      </w:r>
    </w:p>
    <w:p>
      <w:r>
        <w:rPr>
          <w:b/>
        </w:rPr>
        <w:t xml:space="preserve">Quelle: </w:t>
      </w:r>
      <w:r>
        <w:t>https://mcp.opencaselaw.ch/entscheid/bger_4A_306_2016</w:t>
      </w:r>
    </w:p>
    <w:p>
      <w:r>
        <w:t>FR: TF 4A 306/2016 du 5 juillet 2016</w:t>
      </w:r>
    </w:p>
    <w:p>
      <w:r>
        <w:t>IT: TF 4A 306/2016 del 5 luglio 2016</w:t>
      </w:r>
    </w:p>
    <w:p>
      <w:pPr>
        <w:pStyle w:val="Heading2"/>
      </w:pPr>
      <w:r>
        <w:t>Regeste</w:t>
      </w:r>
    </w:p>
    <w:p>
      <w:r>
        <w:t>Mieterausweisung | Vertragsrecht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Der Beschwerdeführer verkennt diese Grundsätze, indem er seinen rechtlichen Vorbringen eine ausführliche Sachverhaltsdarstellung voranstellt, in der er unter Hinweis auf zahlreiche Aktenstücke des kantonalen Verfahrens die Hintergründe des Verfahrens aus eigener Sicht schildert und dabei verschiedentlich von den tatsächlichen Feststellungen der Vorinstanz abweicht oder diese erweitert, ohne substanziiert Ausnahmen von der Sachverhaltsbindung geltend zu machen. So bringt er unter anderem vor, er habe mit der Beschwerdegegnerin neben dem Mietvertrag vom 3. Januar 2008 auch weitere Mietverträge abgeschlossen und erwähnt hierzu die Referenznummern 03012.01.2010, 03012.01.2080 und 03012.03.4023. Die entsprechenden Ausführungen haben unbeachtet zu bleiben. Unbeachtlich sind zudem die Vorbringen in der Beschwerde, soweit sie sich gegen den erstinstanzlichen Entscheid richten, anstatt auf die Erwägungen des angefochtenen Entscheids der Vorinstanz einzugehen (vgl. Art. 75 Abs. 1 BGG ).</w:t>
      </w:r>
    </w:p>
    <w:p>
      <w:r>
        <w:rPr>
          <w:b/>
        </w:rPr>
        <w:t>E. 2</w:t>
      </w:r>
    </w:p>
    <w:p>
      <w:r>
        <w:t>Der Beschwerdeführer rügt, die Vorinstanz habe zu Unrecht auf den Urteilsvorschlag der Schlichtungsbehörde Zürich vom 2. Juli 2013 abgestellt und damit Art. 57, Art. 320 lit. a und Art. 336 ZPO verletzt.</w:t>
      </w:r>
    </w:p>
    <w:p>
      <w:r>
        <w:rPr>
          <w:b/>
        </w:rPr>
        <w:t>E. 2.1</w:t>
      </w:r>
    </w:p>
    <w:p>
      <w:r>
        <w:t>Er bringt vor, die Vorinstanz habe ihrem Urteil zu Unrecht den Urteilsvorschlag vom 2. Juli 2013 zugrunde gelegt, weil dieser in sachlicher Hinsicht nicht hinreichend bestimmt sei. Ziffer 1 des Urteilsvorschlags spreche lediglich vom "Mietverhältnis", ohne dieses oder die Mietobjekte zu konkretisieren. Auch die Begründung des Urteilsvorschlags nehme weder auf ein bestimmtes Mietverhältnis Bezug noch würden dort konkrete Mietobjekte genannt. Es gelte jedoch zu berücksichtigen, dass der Beschwerdeführer verschiedene Mietverträge mit der Beschwerdegegnerin abgeschlossen habe. Der vor der Schlichtungsbehörde geschlossene Vergleich gebe somit nicht klar wieder, was zugesprochen bzw. entschieden worden sei, weshalb es dem Vergleich an der Vollstreckbarkeit fehle. Trotzdem halte die Vorinstanz in Auslegung des Urteilsvorschlags vom 2. Juli 2013 fest, dass die Ausweisung und die Vollstreckungsanweisung den Laden im Erdgeschoss (ca. 163 m2; Ref.-Nr. 3012.01.0020.04), den Laden im Erdgeschoss (ca. 124 m2; Ref.-Nr. 3012.01.0030.04), den Laden im Erdgeschoss (ca. 107 m2; Ref.-Nr. 3012.01.0060.03) und den Lagerraum im 2. Untergeschoss (ca. 23 m2; Ref.-Nr. 3012.01.2020.03) an der U.________strasse in Zürich betreffe. Damit entfalte sie unzulässigerweise eigene Erkenntnistätigkeit. Angesichts der Unklarkeit des Urteilsvorschlags hätte dieser niemals Grundlage für die Ausweisung und die Anweisung an das Stadtammannamt bilden können. Der Urteilsvorschlag sei nichtig, was die Vorinstanz von Amtes wegen hätte beachten müssen.</w:t>
      </w:r>
    </w:p>
    <w:p>
      <w:r>
        <w:rPr>
          <w:b/>
        </w:rPr>
        <w:t>E. 2.2</w:t>
      </w:r>
    </w:p>
    <w:p>
      <w:r>
        <w:t>Dem Beschwerdeführer kann nicht gefolgt werden. Seine Vorbringen laufen schon deshalb ins Leere, weil er die angebliche Unklarkeit des Urteilsvorschlags vom 2. Juli 2013 ausschliesslich mit der Behauptung begründet, es hätten weitere Mietverhältnisse mit der Beschwerdegegnerin bestanden. Entsprechende Sachverhaltsfeststellungen lassen sich dem angefochtenen Entscheid jedoch nicht entnehmen. Abgesehen davon geht aus dem Beschluss der Schlichtungsbehörde Zürich vom 2. Juli 2013 (E. I./1.) entgegen der Behauptung des Beschwerdeführerseindeutig hervor, dass es sich beim Mietverhältnis, das mit besagtem Beschluss verlängert wurde, um dasjenige gemäss Mietvertrag vom 3. Januar 2008 über die Geschäftsräumlichkeiten in der Liegenschaft U.________strasse in Zürich handelt. Der Vorinstanz ist keine Bundesrechtsverletzung vorzuwerfen, wenn sie bei ihrem Entscheid berücksichtigte, dass über die Erstreckung des Mietverhältnisses bis 31. Dezember 2015 mit rechtskräftigem Urteilsvorschlag vom 2. Juli 2013 entschieden und kein weiteres Erstreckungsbegehren bei der Schlichtungsbehörde gestellt wurde. Dass die vom Ausweisungsentscheid erfassten Mietobjekte mit den Referenz-Nummern 3012.01.0020.04, 3012.01.0030.04, 3012.01.0060.03 und 3012.01.2020.03 Gegenstand des Mietvertrags vom 3. Januar 2008 bilden, bestreitet der Beschwerdeführer zu Recht nicht. Von einer unzulässigen Erkenntnistätigkeit oder einem unklaren - geschweige denn nichtigen - Urteilsvorschlag kann keine Rede sein. Die Vorbringen des Beschwerdeführers sind unbegründet.</w:t>
      </w:r>
    </w:p>
    <w:p>
      <w:r>
        <w:rPr>
          <w:b/>
        </w:rPr>
        <w:t>E. 3</w:t>
      </w:r>
    </w:p>
    <w:p>
      <w:r>
        <w:t>Mangels Unklarheit hinsichtlich der betroffenen Mietobjekte geht auch das Vorbringen ins Leere, die Voraussetzungen des Rechtsschutzes in klaren Fällen nach Art. 257 Abs. 1 ZPO seien nicht erfüllt gewesen, weshalb auf das Gesuch nach Art. 257 Abs. 3 ZPO nicht hätte eingetreten werden dürfen. Die nunmehr vor Bundesgericht aufgestellte Behauptung, der Sachverhalt sei hinsichtlich der betroffenen Mietobjekte umstritten gewesen, lässt sich im Übrigen nicht auf die Sachverhaltsfeststellungen des angefochtenen Entscheids stützen. Entsprechend leuchtet auch nicht ein, inwiefern dem Beschwerdeführer in Ausübung der gerichtlichen Fragepflicht ( Art. 56 ZPO ) hätte Gelegenheit eingeräumt werden müssen, sich zu dieser Frage eigens zu äussern, oder ein Beweisverfahren erforderlich gewesen wäre. Offensichtlich unbegründet ist die Beschwerde ausserdem, soweit der Beschwerdeführer aus dem blossen Umstand, dass die Vorinstanz festhält, er befinde sich ohne Rechtsgrund im Miet objekt (anstatt: in den Mietobjekt en ), auf eine unklare Rechtslage hinsichtlich der betroffenen Räumlichkeiten schliessen will. Das Rechtsbegehren der Beschwerdegegnerin war auf die Ausweisung aus vier einzeln aufgeführten Räumlichkeiten gerichtet, die alle auf Grundlage des Mietvertrags vom 3. Januar 2008 vermietet waren. Entgegen der in der Beschwerde vertretenen Auffassung hat die Vorinstanz die Voraussetzungen des Rechtsschutzes in klaren Fällen ( Art. 257 ZPO ) zu Recht als erfüllt erachtet.</w:t>
      </w:r>
    </w:p>
    <w:p>
      <w:r>
        <w:rPr>
          <w:b/>
        </w:rPr>
        <w:t>E. 4</w:t>
      </w:r>
    </w:p>
    <w:p>
      <w:r>
        <w:t>Der Beschwerdeführer rügt im Zusammenhang mit dem von ihm im Berufungsverfahren erhobenen Einwand des rechtsmissbräuchlichen Verhaltens der Beschwerdegegnerin eine Verletzung von Art. 2 Abs. 2 ZGB und eine unrichtige Sachverhaltsfeststellung.</w:t>
      </w:r>
    </w:p>
    <w:p>
      <w:r>
        <w:rPr>
          <w:b/>
        </w:rPr>
        <w:t>E. 4.1</w:t>
      </w:r>
    </w:p>
    <w:p>
      <w:r>
        <w:t>Die Vorinstanz erwog zunächst, der Beschwerdeführer habe seine Schilderung zum angeblichen Verhalten der Beschwerdegegnerin bezüglich der vertraglichen Verlängerungsoption erst im Berufungsverfahren und damit zu spät vorgebracht, da weder ersichtlich noch vorgebracht worden sei, weshalb diese Behauptungen nicht bereits in das erstinstanzliche Verfahren eingebracht wurden. Entsprechend sei das Vorbringen unbehelflich. Der Beschwerdeführer ficht diese Erwägung nicht an, sondern äussert sich lediglich zur vorinstanzlichen Eventualbegründung, wonach seine Behauptung, sofern darauf abgestellt würde, rechtlich ohnehin unerheblich wäre. Damit hält die vorinstanzliche Hauptbegründung vor Bundesgericht stand, weshalb es sich erübrigt, auf die in der Beschwerdeschrift erhobenen Rügen gegen die Eventualbegründung einzugehen (vgl. BGE 133 IV 119 E. 6.3).</w:t>
      </w:r>
    </w:p>
    <w:p>
      <w:r>
        <w:rPr>
          <w:b/>
        </w:rPr>
        <w:t>E. 4.2</w:t>
      </w:r>
    </w:p>
    <w:p>
      <w:r>
        <w:t>Der Beschwerdeführer hatte im Berufungsverfahren zudem vorgebracht, die Beschwerdegegnerin habe sich im Zusammenhang mit dem Urteilsvorschlag vom 2. Juli 2013 unredlich verhalten, indem sie ihm gleich im Anschluss an die Schlichtungsverhandlung konkrete Gespräche über die einvernehmliche Lösung für die weitere Fortführung des Mietverhältnisses (über die Fristerstreckung hinaus) in Aussicht gestellt habe. Aus diesem Grund habe er die Frist für die Ablehnung des Urteilsvorschlags ungenutzt verstreichen lassen; danach habe die Beschwerdegegnerin sich jedoch nicht auf solche Gespräche eingelassen. Die Vorinstanz erachtete auch diese Vorbringen als verspätet. Der Beschwerdeführer wirft der Vorinstanz diesbezüglich zu Unrecht unter Hinweis auf das Protokoll der erstinstanzlichen Verhandlung vom 2. Februar 2016 eine Aktenwidrigkeit vor. Er gab an der angegebenen Aktenstelle (S. 3) lediglich zu Protokoll, er habe im Jahre 2013, zum Zeitpunkt der Erstreckung des Mietverhältnisses auf Ende Dezember 2015, mit der Immobilienverwaltung gesprochen. Diese habe ihm erklärt, dass sicherlich eine Lösung für einen neuen Mietvertrag gefunden werden könne; ein solcher sei jedoch in der Folge nicht abgeschlossen worden. Entgegen seinen Vorbringen in der Beschwerdeschrift berief er sich anlässlich der besagten Verhandlung nicht darauf, dass er die Frist zur Ablehnung des Urteilsvorschlags aufgrund einer Zusicherung der Beschwerdegegnerin habe verstreichen lassen. Eine Aktenwidrigkeit liegt nicht vor, weshalb es sich auch in diesem Zusammenhang erübrigt, auf die Ausführungen in der Beschwerde zur vorinstanzlichen Eventualbegründung einzugehen.</w:t>
      </w:r>
    </w:p>
    <w:p>
      <w:r>
        <w:rPr>
          <w:b/>
        </w:rPr>
        <w:t>E. 5</w:t>
      </w:r>
    </w:p>
    <w:p>
      <w:r>
        <w:t>Die Beschwerde erweist sich als unbegründet und ist abzuweisen, soweit darauf eingetreten werden kann. Dem Ausgang des Verfahrens entsprechend wird der Beschwerdeführer kostenpflichtig ( Art. 66 Abs. 1 BGG ). Die Beschwerdegegnerin hat keinen Anspruch auf eine Parteientschädigung, da ihr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